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73F9" w14:textId="7A46714A" w:rsidR="007B5CF4" w:rsidRDefault="00A74E1A" w:rsidP="007B5CF4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A74E1A">
        <w:rPr>
          <w:b/>
          <w:sz w:val="32"/>
          <w:szCs w:val="32"/>
          <w:lang w:val="en-GB"/>
        </w:rPr>
        <w:t xml:space="preserve">International delegation visits Catalonia’s good practices in gastronomy and </w:t>
      </w:r>
      <w:r>
        <w:rPr>
          <w:b/>
          <w:sz w:val="32"/>
          <w:szCs w:val="32"/>
          <w:lang w:val="en-GB"/>
        </w:rPr>
        <w:t>education</w:t>
      </w:r>
    </w:p>
    <w:p w14:paraId="7B752B5A" w14:textId="77777777" w:rsidR="00C15A62" w:rsidRPr="00262068" w:rsidRDefault="00C15A62" w:rsidP="007B5CF4">
      <w:pPr>
        <w:jc w:val="center"/>
        <w:rPr>
          <w:lang w:val="en-GB"/>
        </w:rPr>
      </w:pPr>
    </w:p>
    <w:p w14:paraId="6826EDFF" w14:textId="77777777" w:rsidR="00D543D8" w:rsidRPr="00262068" w:rsidRDefault="00AE6F2C" w:rsidP="00155395">
      <w:pPr>
        <w:tabs>
          <w:tab w:val="left" w:pos="9214"/>
        </w:tabs>
        <w:ind w:right="990" w:firstLine="426"/>
        <w:jc w:val="center"/>
        <w:rPr>
          <w:i/>
          <w:lang w:val="en-GB"/>
        </w:rPr>
      </w:pPr>
      <w:r>
        <w:rPr>
          <w:i/>
          <w:lang w:val="en-GB"/>
        </w:rPr>
        <w:t xml:space="preserve">With a wide and varied range of public and private </w:t>
      </w:r>
      <w:r w:rsidR="004E3CF1">
        <w:rPr>
          <w:i/>
          <w:lang w:val="en-GB"/>
        </w:rPr>
        <w:t>initiatives</w:t>
      </w:r>
      <w:r>
        <w:rPr>
          <w:i/>
          <w:lang w:val="en-GB"/>
        </w:rPr>
        <w:t xml:space="preserve">, </w:t>
      </w:r>
      <w:r w:rsidR="00D543D8" w:rsidRPr="00262068">
        <w:rPr>
          <w:i/>
          <w:lang w:val="en-GB"/>
        </w:rPr>
        <w:t>Catal</w:t>
      </w:r>
      <w:r w:rsidR="002449D7">
        <w:rPr>
          <w:i/>
          <w:lang w:val="en-GB"/>
        </w:rPr>
        <w:t>onia</w:t>
      </w:r>
      <w:r w:rsidR="002B3A92">
        <w:rPr>
          <w:i/>
          <w:lang w:val="en-GB"/>
        </w:rPr>
        <w:t xml:space="preserve"> is considered</w:t>
      </w:r>
      <w:r w:rsidR="004E3CF1">
        <w:rPr>
          <w:i/>
          <w:lang w:val="en-GB"/>
        </w:rPr>
        <w:t xml:space="preserve"> </w:t>
      </w:r>
      <w:r w:rsidR="00BB551E">
        <w:rPr>
          <w:i/>
          <w:lang w:val="en-GB"/>
        </w:rPr>
        <w:t xml:space="preserve">an </w:t>
      </w:r>
      <w:r w:rsidR="002B3A92">
        <w:rPr>
          <w:i/>
          <w:lang w:val="en-GB"/>
        </w:rPr>
        <w:t xml:space="preserve">international </w:t>
      </w:r>
      <w:r w:rsidR="002449D7">
        <w:rPr>
          <w:i/>
          <w:lang w:val="en-GB"/>
        </w:rPr>
        <w:t>leader</w:t>
      </w:r>
      <w:r w:rsidR="00D543D8" w:rsidRPr="00262068">
        <w:rPr>
          <w:i/>
          <w:lang w:val="en-GB"/>
        </w:rPr>
        <w:t xml:space="preserve"> </w:t>
      </w:r>
      <w:r w:rsidR="00C84434">
        <w:rPr>
          <w:i/>
          <w:lang w:val="en-GB"/>
        </w:rPr>
        <w:t>in</w:t>
      </w:r>
      <w:r w:rsidR="004E3CF1">
        <w:rPr>
          <w:i/>
          <w:lang w:val="en-GB"/>
        </w:rPr>
        <w:t xml:space="preserve"> projects that link</w:t>
      </w:r>
      <w:r w:rsidR="00C84434">
        <w:rPr>
          <w:i/>
          <w:lang w:val="en-GB"/>
        </w:rPr>
        <w:t xml:space="preserve"> Gastronomy and</w:t>
      </w:r>
      <w:r w:rsidR="00D543D8" w:rsidRPr="00262068">
        <w:rPr>
          <w:i/>
          <w:lang w:val="en-GB"/>
        </w:rPr>
        <w:t xml:space="preserve"> </w:t>
      </w:r>
      <w:r w:rsidR="0044353B" w:rsidRPr="00262068">
        <w:rPr>
          <w:i/>
          <w:lang w:val="en-GB"/>
        </w:rPr>
        <w:t>E</w:t>
      </w:r>
      <w:r w:rsidR="00D543D8" w:rsidRPr="00262068">
        <w:rPr>
          <w:i/>
          <w:lang w:val="en-GB"/>
        </w:rPr>
        <w:t>duca</w:t>
      </w:r>
      <w:r w:rsidR="00C84434">
        <w:rPr>
          <w:i/>
          <w:lang w:val="en-GB"/>
        </w:rPr>
        <w:t>tion</w:t>
      </w:r>
      <w:r w:rsidR="00D543D8" w:rsidRPr="00262068">
        <w:rPr>
          <w:i/>
          <w:lang w:val="en-GB"/>
        </w:rPr>
        <w:t>.</w:t>
      </w:r>
    </w:p>
    <w:p w14:paraId="388547F9" w14:textId="77777777" w:rsidR="007B5CF4" w:rsidRPr="00262068" w:rsidRDefault="007B5CF4" w:rsidP="00155395">
      <w:pPr>
        <w:tabs>
          <w:tab w:val="left" w:pos="9214"/>
        </w:tabs>
        <w:ind w:right="990" w:firstLine="426"/>
        <w:jc w:val="center"/>
        <w:rPr>
          <w:i/>
          <w:lang w:val="en-GB"/>
        </w:rPr>
      </w:pPr>
    </w:p>
    <w:p w14:paraId="6C26EA5B" w14:textId="77777777" w:rsidR="007B5CF4" w:rsidRPr="00262068" w:rsidRDefault="007B5CF4" w:rsidP="007B5CF4">
      <w:pPr>
        <w:jc w:val="center"/>
        <w:rPr>
          <w:i/>
          <w:lang w:val="en-GB"/>
        </w:rPr>
      </w:pPr>
    </w:p>
    <w:p w14:paraId="2BF9892A" w14:textId="6F8EDD6E" w:rsidR="006A7001" w:rsidRPr="00A74E1A" w:rsidRDefault="00231A39" w:rsidP="00155395">
      <w:pPr>
        <w:ind w:left="426" w:right="848"/>
        <w:jc w:val="both"/>
        <w:rPr>
          <w:b/>
          <w:lang w:val="en-GB"/>
        </w:rPr>
      </w:pPr>
      <w:r w:rsidRPr="00A74E1A">
        <w:rPr>
          <w:b/>
          <w:lang w:val="en-GB"/>
        </w:rPr>
        <w:t>Catal</w:t>
      </w:r>
      <w:r w:rsidR="006F203E" w:rsidRPr="00A74E1A">
        <w:rPr>
          <w:b/>
          <w:lang w:val="en-GB"/>
        </w:rPr>
        <w:t>onia</w:t>
      </w:r>
      <w:r w:rsidR="00787FFE" w:rsidRPr="00A74E1A">
        <w:rPr>
          <w:b/>
          <w:lang w:val="en-GB"/>
        </w:rPr>
        <w:t xml:space="preserve"> hosts</w:t>
      </w:r>
      <w:r w:rsidR="006F203E" w:rsidRPr="00A74E1A">
        <w:rPr>
          <w:b/>
          <w:lang w:val="en-GB"/>
        </w:rPr>
        <w:t xml:space="preserve"> the </w:t>
      </w:r>
      <w:r w:rsidR="00F21A30" w:rsidRPr="00A74E1A">
        <w:rPr>
          <w:b/>
          <w:lang w:val="en-GB"/>
        </w:rPr>
        <w:t xml:space="preserve">second </w:t>
      </w:r>
      <w:r w:rsidRPr="00A74E1A">
        <w:rPr>
          <w:b/>
          <w:lang w:val="en-GB"/>
        </w:rPr>
        <w:t xml:space="preserve">Interregional Exchange </w:t>
      </w:r>
      <w:r w:rsidR="004D2422" w:rsidRPr="00A74E1A">
        <w:rPr>
          <w:b/>
          <w:lang w:val="en-GB"/>
        </w:rPr>
        <w:t>Visit</w:t>
      </w:r>
      <w:r w:rsidR="004D2422" w:rsidRPr="00A74E1A">
        <w:rPr>
          <w:b/>
          <w:i/>
          <w:lang w:val="en-GB"/>
        </w:rPr>
        <w:t xml:space="preserve"> </w:t>
      </w:r>
      <w:r w:rsidR="006F203E" w:rsidRPr="00A74E1A">
        <w:rPr>
          <w:b/>
          <w:lang w:val="en-GB"/>
        </w:rPr>
        <w:t xml:space="preserve">of the </w:t>
      </w:r>
      <w:r w:rsidR="00787FFE" w:rsidRPr="00A74E1A">
        <w:rPr>
          <w:b/>
          <w:lang w:val="en-GB"/>
        </w:rPr>
        <w:t xml:space="preserve">Europe-wide project </w:t>
      </w:r>
      <w:r w:rsidR="007A5345" w:rsidRPr="00A74E1A">
        <w:rPr>
          <w:b/>
          <w:lang w:val="en-GB"/>
        </w:rPr>
        <w:t>EUREGA (</w:t>
      </w:r>
      <w:proofErr w:type="spellStart"/>
      <w:r w:rsidR="00787FFE" w:rsidRPr="00A74E1A">
        <w:rPr>
          <w:b/>
          <w:lang w:val="en-GB"/>
        </w:rPr>
        <w:t>EUropean</w:t>
      </w:r>
      <w:proofErr w:type="spellEnd"/>
      <w:r w:rsidR="00787FFE" w:rsidRPr="00A74E1A">
        <w:rPr>
          <w:b/>
          <w:lang w:val="en-GB"/>
        </w:rPr>
        <w:t xml:space="preserve"> </w:t>
      </w:r>
      <w:proofErr w:type="spellStart"/>
      <w:r w:rsidR="00787FFE" w:rsidRPr="00A74E1A">
        <w:rPr>
          <w:b/>
          <w:lang w:val="en-GB"/>
        </w:rPr>
        <w:t>REgions</w:t>
      </w:r>
      <w:proofErr w:type="spellEnd"/>
      <w:r w:rsidR="00787FFE" w:rsidRPr="00A74E1A">
        <w:rPr>
          <w:b/>
          <w:lang w:val="en-GB"/>
        </w:rPr>
        <w:t xml:space="preserve"> of </w:t>
      </w:r>
      <w:proofErr w:type="spellStart"/>
      <w:r w:rsidR="00787FFE" w:rsidRPr="00A74E1A">
        <w:rPr>
          <w:b/>
          <w:lang w:val="en-GB"/>
        </w:rPr>
        <w:t>GAstronomy</w:t>
      </w:r>
      <w:proofErr w:type="spellEnd"/>
      <w:r w:rsidR="00787FFE" w:rsidRPr="00A74E1A">
        <w:rPr>
          <w:b/>
          <w:lang w:val="en-GB"/>
        </w:rPr>
        <w:t xml:space="preserve">), </w:t>
      </w:r>
      <w:r w:rsidR="00A74E70" w:rsidRPr="00A74E1A">
        <w:rPr>
          <w:b/>
          <w:lang w:val="en-GB"/>
        </w:rPr>
        <w:t>to</w:t>
      </w:r>
      <w:r w:rsidR="006F203E" w:rsidRPr="00A74E1A">
        <w:rPr>
          <w:b/>
          <w:lang w:val="en-GB"/>
        </w:rPr>
        <w:t xml:space="preserve"> be held from </w:t>
      </w:r>
      <w:r w:rsidR="006A7001" w:rsidRPr="00A74E1A">
        <w:rPr>
          <w:b/>
          <w:lang w:val="en-GB"/>
        </w:rPr>
        <w:t xml:space="preserve">26 </w:t>
      </w:r>
      <w:r w:rsidR="006F203E" w:rsidRPr="00A74E1A">
        <w:rPr>
          <w:b/>
          <w:lang w:val="en-GB"/>
        </w:rPr>
        <w:t>to</w:t>
      </w:r>
      <w:r w:rsidR="006A7001" w:rsidRPr="00A74E1A">
        <w:rPr>
          <w:b/>
          <w:lang w:val="en-GB"/>
        </w:rPr>
        <w:t xml:space="preserve"> 29 </w:t>
      </w:r>
      <w:r w:rsidR="006F203E" w:rsidRPr="00A74E1A">
        <w:rPr>
          <w:b/>
          <w:lang w:val="en-GB"/>
        </w:rPr>
        <w:t>March in</w:t>
      </w:r>
      <w:r w:rsidR="006A7001" w:rsidRPr="00A74E1A">
        <w:rPr>
          <w:b/>
          <w:lang w:val="en-GB"/>
        </w:rPr>
        <w:t xml:space="preserve"> </w:t>
      </w:r>
      <w:r w:rsidR="00D543D8" w:rsidRPr="00A74E1A">
        <w:rPr>
          <w:b/>
          <w:lang w:val="en-GB"/>
        </w:rPr>
        <w:t>Barcelona</w:t>
      </w:r>
      <w:r w:rsidR="00544CBE" w:rsidRPr="00A74E1A">
        <w:rPr>
          <w:b/>
          <w:lang w:val="en-GB"/>
        </w:rPr>
        <w:t xml:space="preserve">. </w:t>
      </w:r>
      <w:r w:rsidR="00AE6F2C" w:rsidRPr="00A74E1A">
        <w:rPr>
          <w:b/>
          <w:lang w:val="en-GB"/>
        </w:rPr>
        <w:t>The meeting</w:t>
      </w:r>
      <w:r w:rsidR="00B354E1" w:rsidRPr="00A74E1A">
        <w:rPr>
          <w:b/>
          <w:lang w:val="en-GB"/>
        </w:rPr>
        <w:t xml:space="preserve"> </w:t>
      </w:r>
      <w:r w:rsidR="00AE6F2C" w:rsidRPr="00A74E1A">
        <w:rPr>
          <w:b/>
          <w:lang w:val="en-GB"/>
        </w:rPr>
        <w:t xml:space="preserve">will </w:t>
      </w:r>
      <w:r w:rsidR="00BC7168">
        <w:rPr>
          <w:b/>
          <w:lang w:val="en-GB"/>
        </w:rPr>
        <w:t>revolve around</w:t>
      </w:r>
      <w:r w:rsidR="00F21A30" w:rsidRPr="00A74E1A">
        <w:rPr>
          <w:b/>
          <w:lang w:val="en-GB"/>
        </w:rPr>
        <w:t xml:space="preserve"> local</w:t>
      </w:r>
      <w:r w:rsidR="00787FFE" w:rsidRPr="00A74E1A">
        <w:rPr>
          <w:b/>
          <w:lang w:val="en-GB"/>
        </w:rPr>
        <w:t xml:space="preserve"> </w:t>
      </w:r>
      <w:r w:rsidR="006C3424" w:rsidRPr="00A74E1A">
        <w:rPr>
          <w:b/>
          <w:lang w:val="en-GB"/>
        </w:rPr>
        <w:t xml:space="preserve">projects that link </w:t>
      </w:r>
      <w:r w:rsidR="00AE6F2C" w:rsidRPr="00A74E1A">
        <w:rPr>
          <w:b/>
          <w:lang w:val="en-GB"/>
        </w:rPr>
        <w:t>Gastronomy and</w:t>
      </w:r>
      <w:r w:rsidR="006A7001" w:rsidRPr="00A74E1A">
        <w:rPr>
          <w:b/>
          <w:lang w:val="en-GB"/>
        </w:rPr>
        <w:t xml:space="preserve"> Educa</w:t>
      </w:r>
      <w:r w:rsidR="00AE6F2C" w:rsidRPr="00A74E1A">
        <w:rPr>
          <w:b/>
          <w:lang w:val="en-GB"/>
        </w:rPr>
        <w:t>tion</w:t>
      </w:r>
      <w:r w:rsidR="004E3CF1" w:rsidRPr="00A74E1A">
        <w:rPr>
          <w:b/>
          <w:lang w:val="en-GB"/>
        </w:rPr>
        <w:t>,</w:t>
      </w:r>
      <w:r w:rsidR="00751734" w:rsidRPr="00A74E1A">
        <w:rPr>
          <w:b/>
          <w:lang w:val="en-GB"/>
        </w:rPr>
        <w:t xml:space="preserve"> </w:t>
      </w:r>
      <w:r w:rsidR="00787FFE" w:rsidRPr="00A74E1A">
        <w:rPr>
          <w:b/>
          <w:lang w:val="en-GB"/>
        </w:rPr>
        <w:t>and</w:t>
      </w:r>
      <w:r w:rsidR="00AE6F2C" w:rsidRPr="00A74E1A">
        <w:rPr>
          <w:b/>
          <w:lang w:val="en-GB"/>
        </w:rPr>
        <w:t xml:space="preserve"> Catalan experience in this field</w:t>
      </w:r>
      <w:r w:rsidR="00751734" w:rsidRPr="00A74E1A">
        <w:rPr>
          <w:b/>
          <w:lang w:val="en-GB"/>
        </w:rPr>
        <w:t>.</w:t>
      </w:r>
      <w:r w:rsidR="00F21A30" w:rsidRPr="00A74E1A">
        <w:rPr>
          <w:b/>
          <w:lang w:val="en-GB"/>
        </w:rPr>
        <w:t xml:space="preserve"> </w:t>
      </w:r>
    </w:p>
    <w:p w14:paraId="1F0FDD83" w14:textId="77777777" w:rsidR="006A7001" w:rsidRPr="00262068" w:rsidRDefault="006A7001" w:rsidP="00155395">
      <w:pPr>
        <w:ind w:left="426" w:right="848"/>
        <w:jc w:val="both"/>
        <w:rPr>
          <w:lang w:val="en-GB"/>
        </w:rPr>
      </w:pPr>
    </w:p>
    <w:p w14:paraId="3EB1A87B" w14:textId="7A6E23D8" w:rsidR="00846047" w:rsidRDefault="00F21A30" w:rsidP="00155395">
      <w:pPr>
        <w:ind w:left="426" w:right="848"/>
        <w:jc w:val="both"/>
        <w:rPr>
          <w:lang w:val="en-GB"/>
        </w:rPr>
      </w:pPr>
      <w:r>
        <w:rPr>
          <w:lang w:val="en-GB"/>
        </w:rPr>
        <w:t>Seven</w:t>
      </w:r>
      <w:r w:rsidRPr="00262068">
        <w:rPr>
          <w:lang w:val="en-GB"/>
        </w:rPr>
        <w:t xml:space="preserve"> </w:t>
      </w:r>
      <w:r w:rsidR="00787FFE">
        <w:rPr>
          <w:lang w:val="en-GB"/>
        </w:rPr>
        <w:t>European countries</w:t>
      </w:r>
      <w:r w:rsidR="000827D7">
        <w:rPr>
          <w:lang w:val="en-GB"/>
        </w:rPr>
        <w:t xml:space="preserve">, </w:t>
      </w:r>
      <w:r w:rsidR="00DF5654">
        <w:rPr>
          <w:lang w:val="en-GB"/>
        </w:rPr>
        <w:t xml:space="preserve">represented by </w:t>
      </w:r>
      <w:r w:rsidR="008815A1" w:rsidRPr="00262068">
        <w:rPr>
          <w:lang w:val="en-GB"/>
        </w:rPr>
        <w:t xml:space="preserve">25 </w:t>
      </w:r>
      <w:r w:rsidR="00DF5654">
        <w:rPr>
          <w:lang w:val="en-GB"/>
        </w:rPr>
        <w:t>delegates from</w:t>
      </w:r>
      <w:r w:rsidR="008815A1" w:rsidRPr="00262068">
        <w:rPr>
          <w:lang w:val="en-GB"/>
        </w:rPr>
        <w:t xml:space="preserve"> </w:t>
      </w:r>
      <w:r>
        <w:rPr>
          <w:lang w:val="en-GB"/>
        </w:rPr>
        <w:t>nine</w:t>
      </w:r>
      <w:r w:rsidRPr="00262068">
        <w:rPr>
          <w:lang w:val="en-GB"/>
        </w:rPr>
        <w:t xml:space="preserve"> </w:t>
      </w:r>
      <w:r w:rsidR="00300751">
        <w:rPr>
          <w:lang w:val="en-GB"/>
        </w:rPr>
        <w:t xml:space="preserve">leading </w:t>
      </w:r>
      <w:r w:rsidR="00A2676D">
        <w:rPr>
          <w:lang w:val="en-GB"/>
        </w:rPr>
        <w:t xml:space="preserve">European </w:t>
      </w:r>
      <w:r w:rsidR="00300751">
        <w:rPr>
          <w:lang w:val="en-GB"/>
        </w:rPr>
        <w:t>institutions</w:t>
      </w:r>
      <w:r w:rsidR="008815A1" w:rsidRPr="00262068">
        <w:rPr>
          <w:lang w:val="en-GB"/>
        </w:rPr>
        <w:t>,</w:t>
      </w:r>
      <w:r w:rsidR="00231A39" w:rsidRPr="00262068">
        <w:rPr>
          <w:lang w:val="en-GB"/>
        </w:rPr>
        <w:t xml:space="preserve"> </w:t>
      </w:r>
      <w:r w:rsidR="00300751">
        <w:rPr>
          <w:lang w:val="en-GB"/>
        </w:rPr>
        <w:t>will discover first-hand</w:t>
      </w:r>
      <w:r w:rsidR="00B354E1" w:rsidRPr="00262068">
        <w:rPr>
          <w:lang w:val="en-GB"/>
        </w:rPr>
        <w:t xml:space="preserve">, </w:t>
      </w:r>
      <w:proofErr w:type="spellStart"/>
      <w:r w:rsidR="00B354E1" w:rsidRPr="00262068">
        <w:rPr>
          <w:lang w:val="en-GB"/>
        </w:rPr>
        <w:t>anal</w:t>
      </w:r>
      <w:r w:rsidR="00300751">
        <w:rPr>
          <w:lang w:val="en-GB"/>
        </w:rPr>
        <w:t>yze</w:t>
      </w:r>
      <w:proofErr w:type="spellEnd"/>
      <w:r w:rsidR="00300751">
        <w:rPr>
          <w:lang w:val="en-GB"/>
        </w:rPr>
        <w:t xml:space="preserve"> and</w:t>
      </w:r>
      <w:r w:rsidR="00B354E1" w:rsidRPr="00262068">
        <w:rPr>
          <w:lang w:val="en-GB"/>
        </w:rPr>
        <w:t xml:space="preserve"> debat</w:t>
      </w:r>
      <w:r w:rsidR="00300751">
        <w:rPr>
          <w:lang w:val="en-GB"/>
        </w:rPr>
        <w:t>e</w:t>
      </w:r>
      <w:r w:rsidR="00751734" w:rsidRPr="00262068">
        <w:rPr>
          <w:lang w:val="en-GB"/>
        </w:rPr>
        <w:t xml:space="preserve"> </w:t>
      </w:r>
      <w:r w:rsidR="00DF5654">
        <w:rPr>
          <w:lang w:val="en-GB"/>
        </w:rPr>
        <w:t xml:space="preserve">good </w:t>
      </w:r>
      <w:r w:rsidR="00300751">
        <w:rPr>
          <w:lang w:val="en-GB"/>
        </w:rPr>
        <w:t xml:space="preserve">practice </w:t>
      </w:r>
      <w:r w:rsidR="00DF5654">
        <w:rPr>
          <w:lang w:val="en-GB"/>
        </w:rPr>
        <w:t xml:space="preserve">models </w:t>
      </w:r>
      <w:r w:rsidR="00300751">
        <w:rPr>
          <w:lang w:val="en-GB"/>
        </w:rPr>
        <w:t xml:space="preserve">developed in </w:t>
      </w:r>
      <w:r w:rsidR="00231A39" w:rsidRPr="00262068">
        <w:rPr>
          <w:lang w:val="en-GB"/>
        </w:rPr>
        <w:t>Catal</w:t>
      </w:r>
      <w:r w:rsidR="00300751">
        <w:rPr>
          <w:lang w:val="en-GB"/>
        </w:rPr>
        <w:t>onia</w:t>
      </w:r>
      <w:r w:rsidR="00231A39" w:rsidRPr="00262068">
        <w:rPr>
          <w:lang w:val="en-GB"/>
        </w:rPr>
        <w:t xml:space="preserve">. </w:t>
      </w:r>
      <w:r w:rsidR="00B354E1" w:rsidRPr="00262068">
        <w:rPr>
          <w:lang w:val="en-GB"/>
        </w:rPr>
        <w:t>Catal</w:t>
      </w:r>
      <w:r w:rsidR="00F329B0">
        <w:rPr>
          <w:lang w:val="en-GB"/>
        </w:rPr>
        <w:t>onia</w:t>
      </w:r>
      <w:r w:rsidR="00B354E1" w:rsidRPr="00262068">
        <w:rPr>
          <w:lang w:val="en-GB"/>
        </w:rPr>
        <w:t xml:space="preserve"> </w:t>
      </w:r>
      <w:r w:rsidR="00DF5654">
        <w:rPr>
          <w:lang w:val="en-GB"/>
        </w:rPr>
        <w:t xml:space="preserve">is considered </w:t>
      </w:r>
      <w:r w:rsidR="001462C7">
        <w:rPr>
          <w:lang w:val="en-GB"/>
        </w:rPr>
        <w:t>a leader in th</w:t>
      </w:r>
      <w:r w:rsidR="00A74E70">
        <w:rPr>
          <w:lang w:val="en-GB"/>
        </w:rPr>
        <w:t>e</w:t>
      </w:r>
      <w:r w:rsidR="00DF5654">
        <w:rPr>
          <w:lang w:val="en-GB"/>
        </w:rPr>
        <w:t xml:space="preserve"> field,</w:t>
      </w:r>
      <w:r w:rsidR="00B354E1" w:rsidRPr="00262068">
        <w:rPr>
          <w:lang w:val="en-GB"/>
        </w:rPr>
        <w:t xml:space="preserve"> </w:t>
      </w:r>
      <w:r w:rsidR="001462C7">
        <w:rPr>
          <w:lang w:val="en-GB"/>
        </w:rPr>
        <w:t xml:space="preserve">due to </w:t>
      </w:r>
      <w:r w:rsidR="000373CF">
        <w:rPr>
          <w:lang w:val="en-GB"/>
        </w:rPr>
        <w:t>a</w:t>
      </w:r>
      <w:r w:rsidR="001462C7">
        <w:rPr>
          <w:lang w:val="en-GB"/>
        </w:rPr>
        <w:t xml:space="preserve"> number of</w:t>
      </w:r>
      <w:r w:rsidR="00DF5654">
        <w:rPr>
          <w:lang w:val="en-GB"/>
        </w:rPr>
        <w:t xml:space="preserve"> innovative </w:t>
      </w:r>
      <w:r w:rsidR="00FB1048">
        <w:rPr>
          <w:lang w:val="en-GB"/>
        </w:rPr>
        <w:t xml:space="preserve">ventures designed </w:t>
      </w:r>
      <w:r w:rsidR="001462C7">
        <w:rPr>
          <w:lang w:val="en-GB"/>
        </w:rPr>
        <w:t xml:space="preserve">to </w:t>
      </w:r>
      <w:r w:rsidR="00FB1048">
        <w:rPr>
          <w:lang w:val="en-GB"/>
        </w:rPr>
        <w:t>communi</w:t>
      </w:r>
      <w:r w:rsidR="001462C7">
        <w:rPr>
          <w:lang w:val="en-GB"/>
        </w:rPr>
        <w:t>cate the values of gastronomy to all areas of society</w:t>
      </w:r>
      <w:r w:rsidR="00BC7168">
        <w:rPr>
          <w:lang w:val="en-GB"/>
        </w:rPr>
        <w:t xml:space="preserve">. These </w:t>
      </w:r>
      <w:r w:rsidR="00A41D91">
        <w:rPr>
          <w:lang w:val="en-GB"/>
        </w:rPr>
        <w:t xml:space="preserve">ventures </w:t>
      </w:r>
      <w:r w:rsidR="00BC7168">
        <w:rPr>
          <w:lang w:val="en-GB"/>
        </w:rPr>
        <w:t xml:space="preserve">are </w:t>
      </w:r>
      <w:r w:rsidR="00DC003A">
        <w:rPr>
          <w:lang w:val="en-GB"/>
        </w:rPr>
        <w:t xml:space="preserve">run at different </w:t>
      </w:r>
      <w:r w:rsidR="00CE19B1">
        <w:rPr>
          <w:lang w:val="en-GB"/>
        </w:rPr>
        <w:t>centre</w:t>
      </w:r>
      <w:r w:rsidR="00DC003A">
        <w:rPr>
          <w:lang w:val="en-GB"/>
        </w:rPr>
        <w:t>s</w:t>
      </w:r>
      <w:r w:rsidR="00CE19B1">
        <w:rPr>
          <w:lang w:val="en-GB"/>
        </w:rPr>
        <w:t xml:space="preserve"> </w:t>
      </w:r>
      <w:r w:rsidR="001462C7">
        <w:rPr>
          <w:lang w:val="en-GB"/>
        </w:rPr>
        <w:t>across the country</w:t>
      </w:r>
      <w:r w:rsidR="007A5345" w:rsidRPr="00262068">
        <w:rPr>
          <w:lang w:val="en-GB"/>
        </w:rPr>
        <w:t>.</w:t>
      </w:r>
      <w:r w:rsidR="009C16AA" w:rsidRPr="00262068">
        <w:rPr>
          <w:lang w:val="en-GB"/>
        </w:rPr>
        <w:t xml:space="preserve"> </w:t>
      </w:r>
      <w:r w:rsidR="00AB5EA1">
        <w:rPr>
          <w:lang w:val="en-GB"/>
        </w:rPr>
        <w:t>W</w:t>
      </w:r>
      <w:r w:rsidR="00CE19B1">
        <w:rPr>
          <w:lang w:val="en-GB"/>
        </w:rPr>
        <w:t xml:space="preserve">orking </w:t>
      </w:r>
      <w:r w:rsidR="00C63959">
        <w:rPr>
          <w:lang w:val="en-GB"/>
        </w:rPr>
        <w:t>sessions</w:t>
      </w:r>
      <w:r w:rsidR="00831BA8" w:rsidRPr="00262068">
        <w:rPr>
          <w:lang w:val="en-GB"/>
        </w:rPr>
        <w:t xml:space="preserve"> </w:t>
      </w:r>
      <w:r w:rsidR="00CE19B1">
        <w:rPr>
          <w:lang w:val="en-GB"/>
        </w:rPr>
        <w:t xml:space="preserve">will </w:t>
      </w:r>
      <w:r w:rsidR="00DC003A">
        <w:rPr>
          <w:lang w:val="en-GB"/>
        </w:rPr>
        <w:t>focus</w:t>
      </w:r>
      <w:r w:rsidR="00F806A7">
        <w:rPr>
          <w:lang w:val="en-GB"/>
        </w:rPr>
        <w:t xml:space="preserve"> </w:t>
      </w:r>
      <w:r w:rsidR="00CE19B1">
        <w:rPr>
          <w:lang w:val="en-GB"/>
        </w:rPr>
        <w:t xml:space="preserve">on </w:t>
      </w:r>
      <w:proofErr w:type="spellStart"/>
      <w:r w:rsidR="00F64DFF">
        <w:rPr>
          <w:lang w:val="en-GB"/>
        </w:rPr>
        <w:t>analyzing</w:t>
      </w:r>
      <w:proofErr w:type="spellEnd"/>
      <w:r w:rsidR="00CE19B1">
        <w:rPr>
          <w:lang w:val="en-GB"/>
        </w:rPr>
        <w:t xml:space="preserve"> </w:t>
      </w:r>
      <w:r w:rsidR="00A41D91">
        <w:rPr>
          <w:lang w:val="en-GB"/>
        </w:rPr>
        <w:t xml:space="preserve">Catalonian </w:t>
      </w:r>
      <w:r w:rsidR="00F806A7">
        <w:rPr>
          <w:lang w:val="en-GB"/>
        </w:rPr>
        <w:t xml:space="preserve">experiences </w:t>
      </w:r>
      <w:r w:rsidR="00846047">
        <w:rPr>
          <w:lang w:val="en-GB"/>
        </w:rPr>
        <w:t>and their impact</w:t>
      </w:r>
      <w:r w:rsidR="009C16AA" w:rsidRPr="00262068">
        <w:rPr>
          <w:lang w:val="en-GB"/>
        </w:rPr>
        <w:t xml:space="preserve"> </w:t>
      </w:r>
      <w:r w:rsidR="00846047">
        <w:rPr>
          <w:lang w:val="en-GB"/>
        </w:rPr>
        <w:t>on gastronomic activities</w:t>
      </w:r>
      <w:r w:rsidR="00D33576" w:rsidRPr="00262068">
        <w:rPr>
          <w:lang w:val="en-GB"/>
        </w:rPr>
        <w:t xml:space="preserve">, </w:t>
      </w:r>
      <w:r w:rsidR="00846047">
        <w:rPr>
          <w:lang w:val="en-GB"/>
        </w:rPr>
        <w:t xml:space="preserve">as well as </w:t>
      </w:r>
      <w:r w:rsidR="000373CF">
        <w:rPr>
          <w:lang w:val="en-GB"/>
        </w:rPr>
        <w:t xml:space="preserve">the </w:t>
      </w:r>
      <w:r w:rsidR="004860E9">
        <w:rPr>
          <w:lang w:val="en-GB"/>
        </w:rPr>
        <w:t xml:space="preserve">challenge of </w:t>
      </w:r>
      <w:r w:rsidR="00846047">
        <w:rPr>
          <w:lang w:val="en-GB"/>
        </w:rPr>
        <w:t>stimulat</w:t>
      </w:r>
      <w:r w:rsidR="00AB5EA1">
        <w:rPr>
          <w:lang w:val="en-GB"/>
        </w:rPr>
        <w:t>ing</w:t>
      </w:r>
      <w:r w:rsidR="00846047">
        <w:rPr>
          <w:lang w:val="en-GB"/>
        </w:rPr>
        <w:t xml:space="preserve"> and generat</w:t>
      </w:r>
      <w:r w:rsidR="00AB5EA1">
        <w:rPr>
          <w:lang w:val="en-GB"/>
        </w:rPr>
        <w:t>ing</w:t>
      </w:r>
      <w:r w:rsidR="00846047">
        <w:rPr>
          <w:lang w:val="en-GB"/>
        </w:rPr>
        <w:t xml:space="preserve"> opportunities in the </w:t>
      </w:r>
      <w:proofErr w:type="spellStart"/>
      <w:r w:rsidR="00846047">
        <w:rPr>
          <w:lang w:val="en-GB"/>
        </w:rPr>
        <w:t>agro</w:t>
      </w:r>
      <w:proofErr w:type="spellEnd"/>
      <w:r w:rsidR="00846047">
        <w:rPr>
          <w:lang w:val="en-GB"/>
        </w:rPr>
        <w:t xml:space="preserve">-food industry and local production. </w:t>
      </w:r>
    </w:p>
    <w:p w14:paraId="409951DF" w14:textId="77777777" w:rsidR="00DB1642" w:rsidRPr="00262068" w:rsidRDefault="00DB1642" w:rsidP="00155395">
      <w:pPr>
        <w:ind w:left="426" w:right="848"/>
        <w:jc w:val="both"/>
        <w:rPr>
          <w:lang w:val="en-GB"/>
        </w:rPr>
      </w:pPr>
    </w:p>
    <w:p w14:paraId="54E6B406" w14:textId="6E61FC31" w:rsidR="00115310" w:rsidRPr="00262068" w:rsidRDefault="00A41D91" w:rsidP="00A74E1A">
      <w:pPr>
        <w:ind w:left="426" w:right="848"/>
        <w:rPr>
          <w:lang w:val="en-GB"/>
        </w:rPr>
      </w:pPr>
      <w:r>
        <w:rPr>
          <w:b/>
          <w:lang w:val="en-GB"/>
        </w:rPr>
        <w:t xml:space="preserve">Health through food and </w:t>
      </w:r>
      <w:r w:rsidR="00F64DFF">
        <w:rPr>
          <w:b/>
          <w:lang w:val="en-GB"/>
        </w:rPr>
        <w:t>exercise</w:t>
      </w:r>
      <w:r>
        <w:rPr>
          <w:lang w:val="en-GB"/>
        </w:rPr>
        <w:br/>
      </w:r>
      <w:r w:rsidR="00F806A7">
        <w:rPr>
          <w:lang w:val="en-GB"/>
        </w:rPr>
        <w:t xml:space="preserve">During the working </w:t>
      </w:r>
      <w:r w:rsidR="00C63959">
        <w:rPr>
          <w:lang w:val="en-GB"/>
        </w:rPr>
        <w:t>sessions</w:t>
      </w:r>
      <w:r w:rsidR="00F806A7">
        <w:rPr>
          <w:lang w:val="en-GB"/>
        </w:rPr>
        <w:t>,</w:t>
      </w:r>
      <w:r w:rsidR="007A0F46" w:rsidRPr="00262068">
        <w:rPr>
          <w:lang w:val="en-GB"/>
        </w:rPr>
        <w:t xml:space="preserve"> </w:t>
      </w:r>
      <w:r w:rsidR="00F806A7">
        <w:rPr>
          <w:lang w:val="en-GB"/>
        </w:rPr>
        <w:t xml:space="preserve">delegates will also study the </w:t>
      </w:r>
      <w:r w:rsidR="00897FA4" w:rsidRPr="00262068">
        <w:rPr>
          <w:lang w:val="en-GB"/>
        </w:rPr>
        <w:t>implementa</w:t>
      </w:r>
      <w:r w:rsidR="00322B83">
        <w:rPr>
          <w:lang w:val="en-GB"/>
        </w:rPr>
        <w:t xml:space="preserve">tion of </w:t>
      </w:r>
      <w:r w:rsidR="005C73B5">
        <w:rPr>
          <w:lang w:val="en-GB"/>
        </w:rPr>
        <w:t>Catalonia’s Public Food Procurement Plan</w:t>
      </w:r>
      <w:r w:rsidR="00897FA4" w:rsidRPr="00262068">
        <w:rPr>
          <w:lang w:val="en-GB"/>
        </w:rPr>
        <w:t xml:space="preserve">, </w:t>
      </w:r>
      <w:r w:rsidR="003149DC">
        <w:rPr>
          <w:lang w:val="en-GB"/>
        </w:rPr>
        <w:t xml:space="preserve">the </w:t>
      </w:r>
      <w:r w:rsidR="005C73B5">
        <w:rPr>
          <w:lang w:val="en-GB"/>
        </w:rPr>
        <w:t>Health Department’s</w:t>
      </w:r>
      <w:r w:rsidR="00115310" w:rsidRPr="00262068">
        <w:rPr>
          <w:lang w:val="en-GB"/>
        </w:rPr>
        <w:t xml:space="preserve"> </w:t>
      </w:r>
      <w:r w:rsidR="004D2422" w:rsidRPr="00262068">
        <w:rPr>
          <w:lang w:val="en-GB"/>
        </w:rPr>
        <w:t>PAAS</w:t>
      </w:r>
      <w:r w:rsidR="005C73B5">
        <w:rPr>
          <w:lang w:val="en-GB"/>
        </w:rPr>
        <w:t xml:space="preserve"> program</w:t>
      </w:r>
      <w:r w:rsidR="00897FA4" w:rsidRPr="00262068">
        <w:rPr>
          <w:lang w:val="en-GB"/>
        </w:rPr>
        <w:t xml:space="preserve"> </w:t>
      </w:r>
      <w:r w:rsidR="005C73B5">
        <w:rPr>
          <w:lang w:val="en-GB"/>
        </w:rPr>
        <w:t>for promoting health</w:t>
      </w:r>
      <w:r w:rsidR="00FB77EC" w:rsidRPr="002604C2">
        <w:rPr>
          <w:color w:val="000000"/>
          <w:lang w:val="en-GB"/>
        </w:rPr>
        <w:t xml:space="preserve"> </w:t>
      </w:r>
      <w:r w:rsidR="005C73B5">
        <w:rPr>
          <w:color w:val="000000"/>
          <w:lang w:val="en-GB"/>
        </w:rPr>
        <w:t>via physical e</w:t>
      </w:r>
      <w:r w:rsidR="00FB77EC" w:rsidRPr="002604C2">
        <w:rPr>
          <w:color w:val="000000"/>
          <w:lang w:val="en-GB"/>
        </w:rPr>
        <w:t xml:space="preserve">xercise and </w:t>
      </w:r>
      <w:r w:rsidR="005C73B5">
        <w:rPr>
          <w:color w:val="000000"/>
          <w:lang w:val="en-GB"/>
        </w:rPr>
        <w:t>h</w:t>
      </w:r>
      <w:r w:rsidR="00FB77EC" w:rsidRPr="002604C2">
        <w:rPr>
          <w:color w:val="000000"/>
          <w:lang w:val="en-GB"/>
        </w:rPr>
        <w:t xml:space="preserve">ealthy </w:t>
      </w:r>
      <w:r w:rsidR="004860E9">
        <w:rPr>
          <w:color w:val="000000"/>
          <w:lang w:val="en-GB"/>
        </w:rPr>
        <w:t>e</w:t>
      </w:r>
      <w:r w:rsidR="00FB77EC" w:rsidRPr="002604C2">
        <w:rPr>
          <w:color w:val="000000"/>
          <w:lang w:val="en-GB"/>
        </w:rPr>
        <w:t>ating</w:t>
      </w:r>
      <w:r w:rsidR="00897FA4" w:rsidRPr="00262068">
        <w:rPr>
          <w:lang w:val="en-GB"/>
        </w:rPr>
        <w:t>,</w:t>
      </w:r>
      <w:r w:rsidR="00115310" w:rsidRPr="00262068">
        <w:rPr>
          <w:lang w:val="en-GB"/>
        </w:rPr>
        <w:t xml:space="preserve"> </w:t>
      </w:r>
      <w:r w:rsidR="004860E9">
        <w:rPr>
          <w:lang w:val="en-GB"/>
        </w:rPr>
        <w:t>and</w:t>
      </w:r>
      <w:r w:rsidR="005C73B5">
        <w:rPr>
          <w:lang w:val="en-GB"/>
        </w:rPr>
        <w:t xml:space="preserve"> a range of programs designed to encourage good eating habits in school dining halls.</w:t>
      </w:r>
    </w:p>
    <w:p w14:paraId="3195261E" w14:textId="77777777" w:rsidR="00115310" w:rsidRPr="00262068" w:rsidRDefault="00115310" w:rsidP="00155395">
      <w:pPr>
        <w:ind w:left="426" w:right="848"/>
        <w:jc w:val="both"/>
        <w:rPr>
          <w:lang w:val="en-GB"/>
        </w:rPr>
      </w:pPr>
    </w:p>
    <w:p w14:paraId="41E421DE" w14:textId="4014E534" w:rsidR="007B5CF4" w:rsidRPr="00262068" w:rsidRDefault="006300CE" w:rsidP="009C16AA">
      <w:pPr>
        <w:ind w:left="426" w:right="848"/>
        <w:jc w:val="both"/>
        <w:rPr>
          <w:lang w:val="en-GB"/>
        </w:rPr>
      </w:pPr>
      <w:r>
        <w:rPr>
          <w:lang w:val="en-GB"/>
        </w:rPr>
        <w:t xml:space="preserve">The </w:t>
      </w:r>
      <w:r w:rsidR="007B265D">
        <w:rPr>
          <w:lang w:val="en-GB"/>
        </w:rPr>
        <w:t xml:space="preserve">organiser of the conference, also responsible for designing </w:t>
      </w:r>
      <w:r w:rsidR="008E2FBC">
        <w:rPr>
          <w:lang w:val="en-GB"/>
        </w:rPr>
        <w:t xml:space="preserve">the </w:t>
      </w:r>
      <w:r w:rsidR="007B265D">
        <w:rPr>
          <w:lang w:val="en-GB"/>
        </w:rPr>
        <w:t>working sessions,</w:t>
      </w:r>
      <w:r>
        <w:rPr>
          <w:lang w:val="en-GB"/>
        </w:rPr>
        <w:t xml:space="preserve"> </w:t>
      </w:r>
      <w:r w:rsidR="007B265D">
        <w:rPr>
          <w:lang w:val="en-GB"/>
        </w:rPr>
        <w:t xml:space="preserve">is </w:t>
      </w:r>
      <w:r>
        <w:rPr>
          <w:lang w:val="en-GB"/>
        </w:rPr>
        <w:t xml:space="preserve">PRODECA, </w:t>
      </w:r>
      <w:r w:rsidR="003149DC">
        <w:rPr>
          <w:lang w:val="en-GB"/>
        </w:rPr>
        <w:t xml:space="preserve">the Catalan </w:t>
      </w:r>
      <w:proofErr w:type="spellStart"/>
      <w:r w:rsidR="003149DC">
        <w:rPr>
          <w:lang w:val="en-GB"/>
        </w:rPr>
        <w:t>Agrifood</w:t>
      </w:r>
      <w:proofErr w:type="spellEnd"/>
      <w:r w:rsidR="003149DC">
        <w:rPr>
          <w:lang w:val="en-GB"/>
        </w:rPr>
        <w:t xml:space="preserve"> Exports Promotion Agency</w:t>
      </w:r>
      <w:r w:rsidR="00A41D91">
        <w:rPr>
          <w:lang w:val="en-GB"/>
        </w:rPr>
        <w:t>. PRODECA is</w:t>
      </w:r>
      <w:r w:rsidR="00A41D91" w:rsidRPr="00262068">
        <w:rPr>
          <w:lang w:val="en-GB"/>
        </w:rPr>
        <w:t xml:space="preserve"> </w:t>
      </w:r>
      <w:r w:rsidR="005C73B5">
        <w:rPr>
          <w:lang w:val="en-GB"/>
        </w:rPr>
        <w:t xml:space="preserve">one of </w:t>
      </w:r>
      <w:r w:rsidR="00DB1642" w:rsidRPr="00262068">
        <w:rPr>
          <w:lang w:val="en-GB"/>
        </w:rPr>
        <w:t xml:space="preserve">9 </w:t>
      </w:r>
      <w:r w:rsidR="005C73B5">
        <w:rPr>
          <w:lang w:val="en-GB"/>
        </w:rPr>
        <w:t xml:space="preserve">partners that make up the </w:t>
      </w:r>
      <w:r w:rsidR="00DB1642" w:rsidRPr="00262068">
        <w:rPr>
          <w:lang w:val="en-GB"/>
        </w:rPr>
        <w:t>EUREGA</w:t>
      </w:r>
      <w:r w:rsidR="005C73B5">
        <w:rPr>
          <w:lang w:val="en-GB"/>
        </w:rPr>
        <w:t xml:space="preserve"> group</w:t>
      </w:r>
      <w:r w:rsidR="009C16AA" w:rsidRPr="00262068">
        <w:rPr>
          <w:lang w:val="en-GB"/>
        </w:rPr>
        <w:t xml:space="preserve">. </w:t>
      </w:r>
    </w:p>
    <w:p w14:paraId="67F41ABC" w14:textId="77777777" w:rsidR="007B5CF4" w:rsidRPr="00262068" w:rsidRDefault="007B5CF4" w:rsidP="00155395">
      <w:pPr>
        <w:ind w:left="426" w:right="848"/>
        <w:jc w:val="center"/>
        <w:rPr>
          <w:lang w:val="en-GB"/>
        </w:rPr>
      </w:pPr>
    </w:p>
    <w:p w14:paraId="1AB29D61" w14:textId="77777777" w:rsidR="00D6666D" w:rsidRPr="00262068" w:rsidRDefault="00D6666D" w:rsidP="00155395">
      <w:pPr>
        <w:ind w:left="426" w:right="848"/>
        <w:rPr>
          <w:b/>
          <w:lang w:val="en-GB"/>
        </w:rPr>
      </w:pPr>
    </w:p>
    <w:p w14:paraId="514C481C" w14:textId="77777777" w:rsidR="008815A1" w:rsidRPr="00262068" w:rsidRDefault="008815A1" w:rsidP="00155395">
      <w:pPr>
        <w:ind w:left="426" w:right="848"/>
        <w:jc w:val="both"/>
        <w:rPr>
          <w:b/>
          <w:lang w:val="en-GB"/>
        </w:rPr>
      </w:pPr>
      <w:r w:rsidRPr="00262068">
        <w:rPr>
          <w:b/>
          <w:lang w:val="en-GB"/>
        </w:rPr>
        <w:t>Catal</w:t>
      </w:r>
      <w:r w:rsidR="00A351E7">
        <w:rPr>
          <w:b/>
          <w:lang w:val="en-GB"/>
        </w:rPr>
        <w:t>onia, a leader in Gastronomy and Education.</w:t>
      </w:r>
    </w:p>
    <w:p w14:paraId="76774B03" w14:textId="77777777" w:rsidR="008815A1" w:rsidRPr="00262068" w:rsidRDefault="008815A1" w:rsidP="00155395">
      <w:pPr>
        <w:ind w:left="426" w:right="848"/>
        <w:jc w:val="both"/>
        <w:rPr>
          <w:lang w:val="en-GB"/>
        </w:rPr>
      </w:pPr>
    </w:p>
    <w:p w14:paraId="5985A10F" w14:textId="18B8CCC8" w:rsidR="005E676E" w:rsidRPr="00262068" w:rsidRDefault="00A41D91" w:rsidP="005E676E">
      <w:pPr>
        <w:ind w:left="426" w:right="848"/>
        <w:jc w:val="both"/>
        <w:rPr>
          <w:lang w:val="en-GB"/>
        </w:rPr>
      </w:pPr>
      <w:r>
        <w:rPr>
          <w:lang w:val="en-GB"/>
        </w:rPr>
        <w:t xml:space="preserve">This </w:t>
      </w:r>
      <w:r w:rsidR="00A351E7">
        <w:rPr>
          <w:lang w:val="en-GB"/>
        </w:rPr>
        <w:t xml:space="preserve">EUREGA </w:t>
      </w:r>
      <w:r w:rsidR="00BA7613">
        <w:rPr>
          <w:lang w:val="en-GB"/>
        </w:rPr>
        <w:t xml:space="preserve">Interregional Exchange Meeting </w:t>
      </w:r>
      <w:r w:rsidR="00F06D61">
        <w:rPr>
          <w:lang w:val="en-GB"/>
        </w:rPr>
        <w:t>brings together</w:t>
      </w:r>
      <w:r w:rsidR="00BA7613">
        <w:rPr>
          <w:lang w:val="en-GB"/>
        </w:rPr>
        <w:t xml:space="preserve"> </w:t>
      </w:r>
      <w:r w:rsidR="00A32099">
        <w:rPr>
          <w:lang w:val="en-GB"/>
        </w:rPr>
        <w:t xml:space="preserve">Catalonia’s </w:t>
      </w:r>
      <w:r w:rsidR="00F06D61">
        <w:rPr>
          <w:lang w:val="en-GB"/>
        </w:rPr>
        <w:t>benchmark</w:t>
      </w:r>
      <w:r w:rsidR="00BA7613">
        <w:rPr>
          <w:lang w:val="en-GB"/>
        </w:rPr>
        <w:t xml:space="preserve"> projects in gastronomic</w:t>
      </w:r>
      <w:r w:rsidR="008F7DFF" w:rsidRPr="00262068">
        <w:rPr>
          <w:lang w:val="en-GB"/>
        </w:rPr>
        <w:t xml:space="preserve"> innova</w:t>
      </w:r>
      <w:r w:rsidR="00BA7613">
        <w:rPr>
          <w:lang w:val="en-GB"/>
        </w:rPr>
        <w:t>tion</w:t>
      </w:r>
      <w:r w:rsidR="008F7DFF" w:rsidRPr="00262068">
        <w:rPr>
          <w:lang w:val="en-GB"/>
        </w:rPr>
        <w:t xml:space="preserve">, </w:t>
      </w:r>
      <w:r w:rsidR="00BA7613">
        <w:rPr>
          <w:lang w:val="en-GB"/>
        </w:rPr>
        <w:t xml:space="preserve">training and outreach, </w:t>
      </w:r>
      <w:r w:rsidR="00F06D61">
        <w:rPr>
          <w:lang w:val="en-GB"/>
        </w:rPr>
        <w:t>including</w:t>
      </w:r>
      <w:r w:rsidR="00BA7613">
        <w:rPr>
          <w:lang w:val="en-GB"/>
        </w:rPr>
        <w:t>:</w:t>
      </w:r>
    </w:p>
    <w:p w14:paraId="768096BC" w14:textId="77777777" w:rsidR="005E676E" w:rsidRPr="00262068" w:rsidRDefault="005E676E" w:rsidP="005E676E">
      <w:pPr>
        <w:ind w:left="426" w:right="848"/>
        <w:jc w:val="both"/>
        <w:rPr>
          <w:lang w:val="en-GB"/>
        </w:rPr>
      </w:pPr>
    </w:p>
    <w:p w14:paraId="3E23A5C7" w14:textId="77777777" w:rsidR="007D78FC" w:rsidRPr="00262068" w:rsidRDefault="00F173E7" w:rsidP="007D78FC">
      <w:pPr>
        <w:pStyle w:val="Lijstalinea"/>
        <w:numPr>
          <w:ilvl w:val="0"/>
          <w:numId w:val="7"/>
        </w:numPr>
        <w:spacing w:line="240" w:lineRule="auto"/>
        <w:ind w:left="1145" w:right="851" w:hanging="357"/>
        <w:jc w:val="both"/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CETT</w:t>
      </w:r>
      <w:r w:rsidR="00A96EEA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,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32099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the</w:t>
      </w:r>
      <w:r w:rsidR="00A351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international school for education and knowledge transfer in tourism, hotel management and gastronomy, affiliated to the University of Barcelona. CETT offers training and study programs at all levels </w:t>
      </w:r>
      <w:r w:rsidR="007D78FC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(</w:t>
      </w:r>
      <w:r w:rsidR="00A351E7" w:rsidRPr="00A351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vocational training, graduate and postgraduate education, ongoing training for professionals as well as </w:t>
      </w:r>
      <w:r w:rsidR="00A351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tailor</w:t>
      </w:r>
      <w:r w:rsidR="00A351E7" w:rsidRPr="00A351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-made courses for companies</w:t>
      </w:r>
      <w:r w:rsidR="00F06D61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). CETT’s unique </w:t>
      </w:r>
      <w:r w:rsidR="00A351E7" w:rsidRPr="00A351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educational model </w:t>
      </w:r>
      <w:r w:rsidR="00F06D61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is </w:t>
      </w:r>
      <w:r w:rsidR="00A351E7" w:rsidRPr="00A351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based on a team of teachers and professionals that combines academic rigour and broad experience, and the pursuit of specialised knowledge in hospitality and tourism</w:t>
      </w:r>
      <w:r w:rsidR="007D78FC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.</w:t>
      </w:r>
    </w:p>
    <w:p w14:paraId="789BAA51" w14:textId="77777777" w:rsidR="007D78FC" w:rsidRPr="00262068" w:rsidRDefault="007D78FC" w:rsidP="007D78FC">
      <w:pPr>
        <w:pStyle w:val="Lijstalinea"/>
        <w:spacing w:line="240" w:lineRule="auto"/>
        <w:ind w:left="1145" w:right="851"/>
        <w:jc w:val="both"/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</w:pPr>
    </w:p>
    <w:p w14:paraId="06E1DC44" w14:textId="77777777" w:rsidR="005E676E" w:rsidRPr="00262068" w:rsidRDefault="00A351E7" w:rsidP="0044353B">
      <w:pPr>
        <w:pStyle w:val="Lijstalinea"/>
        <w:numPr>
          <w:ilvl w:val="0"/>
          <w:numId w:val="7"/>
        </w:numPr>
        <w:spacing w:line="240" w:lineRule="auto"/>
        <w:ind w:left="1145" w:right="851" w:hanging="357"/>
        <w:jc w:val="both"/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lastRenderedPageBreak/>
        <w:t>The ALI</w:t>
      </w:r>
      <w:r w:rsidR="008815A1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CIA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FOUNDATION</w:t>
      </w:r>
      <w:r w:rsidR="00A96EEA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,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a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centre for research into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DB1642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c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ooking</w:t>
      </w:r>
      <w:r w:rsidR="008F7DFF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,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foods</w:t>
      </w:r>
      <w:r w:rsidR="00DB1642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and culinary processes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96EEA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to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improve eating habits, connecting them to the</w:t>
      </w:r>
      <w:r w:rsidR="00DB1642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food and gastronomic heritage</w:t>
      </w:r>
      <w:r w:rsidR="00DB1642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of the region</w:t>
      </w:r>
      <w:r w:rsidR="005E67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.</w:t>
      </w:r>
    </w:p>
    <w:p w14:paraId="21CBD37A" w14:textId="77777777" w:rsidR="0044353B" w:rsidRPr="00262068" w:rsidRDefault="0044353B" w:rsidP="0044353B">
      <w:pPr>
        <w:pStyle w:val="Lijstalinea"/>
        <w:spacing w:line="240" w:lineRule="auto"/>
        <w:ind w:left="1145" w:right="851"/>
        <w:jc w:val="both"/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</w:pPr>
    </w:p>
    <w:p w14:paraId="237CC0B2" w14:textId="77777777" w:rsidR="005E676E" w:rsidRPr="00262068" w:rsidRDefault="008815A1" w:rsidP="0044353B">
      <w:pPr>
        <w:pStyle w:val="Lijstalinea"/>
        <w:numPr>
          <w:ilvl w:val="0"/>
          <w:numId w:val="7"/>
        </w:numPr>
        <w:spacing w:line="240" w:lineRule="auto"/>
        <w:ind w:left="1145" w:right="851" w:hanging="357"/>
        <w:jc w:val="both"/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</w:pPr>
      <w:r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LABULLIGRAFIA</w:t>
      </w:r>
      <w:r w:rsidR="00A96EEA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,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a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disruptive project</w:t>
      </w:r>
      <w:r w:rsidR="00F309B3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led by</w:t>
      </w:r>
      <w:r w:rsidR="00F309B3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proofErr w:type="spellStart"/>
      <w:r w:rsidR="00F309B3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Ferran</w:t>
      </w:r>
      <w:proofErr w:type="spellEnd"/>
      <w:r w:rsidR="00F309B3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proofErr w:type="spellStart"/>
      <w:r w:rsidR="00F309B3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Adrià</w:t>
      </w:r>
      <w:proofErr w:type="spellEnd"/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,</w:t>
      </w:r>
      <w:r w:rsidR="00F309B3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bas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ed on 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a creative audit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of the 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world-famous </w:t>
      </w:r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El Bulli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restaurant</w:t>
      </w:r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, 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whose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historical archive will be 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displayed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according to the</w:t>
      </w:r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4A296E" w:rsidRPr="00A94027">
        <w:rPr>
          <w:rFonts w:asciiTheme="minorHAnsi" w:eastAsiaTheme="minorEastAsia" w:hAnsiTheme="minorHAnsi" w:cstheme="minorBidi"/>
          <w:i/>
          <w:color w:val="auto"/>
          <w:sz w:val="24"/>
          <w:szCs w:val="24"/>
          <w:lang w:val="en-GB" w:eastAsia="nl-NL"/>
        </w:rPr>
        <w:t>Sapiens</w:t>
      </w:r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methodology to 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encompass </w:t>
      </w:r>
      <w:r w:rsidR="00A9402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the scale of </w:t>
      </w:r>
      <w:r w:rsidR="00BA7613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the legacy of knowledge, creativity, innovation and entrepreneurship generated by</w:t>
      </w:r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proofErr w:type="spellStart"/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Ferran</w:t>
      </w:r>
      <w:proofErr w:type="spellEnd"/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proofErr w:type="spellStart"/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Adrià</w:t>
      </w:r>
      <w:proofErr w:type="spellEnd"/>
      <w:r w:rsidR="004A29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BA7613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and his team.</w:t>
      </w:r>
    </w:p>
    <w:p w14:paraId="03F92A2F" w14:textId="77777777" w:rsidR="0044353B" w:rsidRPr="00262068" w:rsidRDefault="0044353B" w:rsidP="0044353B">
      <w:pPr>
        <w:ind w:right="851"/>
        <w:jc w:val="both"/>
        <w:rPr>
          <w:lang w:val="en-GB"/>
        </w:rPr>
      </w:pPr>
    </w:p>
    <w:p w14:paraId="08D4056D" w14:textId="77777777" w:rsidR="005E676E" w:rsidRPr="00262068" w:rsidRDefault="00BA7613" w:rsidP="0044353B">
      <w:pPr>
        <w:pStyle w:val="Lijstalinea"/>
        <w:numPr>
          <w:ilvl w:val="0"/>
          <w:numId w:val="7"/>
        </w:numPr>
        <w:spacing w:line="240" w:lineRule="auto"/>
        <w:ind w:left="1145" w:right="851" w:hanging="357"/>
        <w:jc w:val="both"/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</w:pP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The </w:t>
      </w:r>
      <w:r w:rsidR="008815A1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CULINARY INSTITUTE OF GASTRONOMY</w:t>
      </w:r>
      <w:r w:rsidR="00A32099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,</w:t>
      </w:r>
      <w:r w:rsidR="00F173E7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a new cooking school whose mission is to transform the way we cook</w:t>
      </w:r>
      <w:r w:rsidR="00A32099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,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with an educational philosophy based </w:t>
      </w:r>
      <w:r w:rsidR="00A32099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on professional training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A32099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that applies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innovative learning methods </w:t>
      </w:r>
      <w:r w:rsidR="003E256C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drawn from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</w:t>
      </w:r>
      <w:r w:rsidR="005E676E" w:rsidRPr="00262068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Silicon Valley 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and </w:t>
      </w:r>
      <w:r w:rsidR="003E256C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adapted</w:t>
      </w:r>
      <w:r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 to provide powerful solutions, </w:t>
      </w:r>
      <w:r w:rsidR="003E256C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 xml:space="preserve">in which technology, creativity and innovation are </w:t>
      </w:r>
      <w:r w:rsidR="0092207F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key</w:t>
      </w:r>
      <w:r w:rsidR="003E256C"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  <w:t>.</w:t>
      </w:r>
    </w:p>
    <w:p w14:paraId="48E0CA7D" w14:textId="77777777" w:rsidR="0044353B" w:rsidRPr="00262068" w:rsidRDefault="0044353B" w:rsidP="0044353B">
      <w:pPr>
        <w:ind w:right="851"/>
        <w:jc w:val="both"/>
        <w:rPr>
          <w:lang w:val="en-GB"/>
        </w:rPr>
      </w:pPr>
    </w:p>
    <w:p w14:paraId="72C4F779" w14:textId="77777777" w:rsidR="007A0F46" w:rsidRPr="00262068" w:rsidRDefault="007A0F46" w:rsidP="007A0F46">
      <w:pPr>
        <w:pStyle w:val="Lijstalinea"/>
        <w:rPr>
          <w:rFonts w:asciiTheme="minorHAnsi" w:eastAsiaTheme="minorEastAsia" w:hAnsiTheme="minorHAnsi" w:cstheme="minorBidi"/>
          <w:color w:val="auto"/>
          <w:sz w:val="24"/>
          <w:szCs w:val="24"/>
          <w:lang w:val="en-GB" w:eastAsia="nl-NL"/>
        </w:rPr>
      </w:pPr>
    </w:p>
    <w:p w14:paraId="2CF4ABAE" w14:textId="784FD67D" w:rsidR="00A41D91" w:rsidRDefault="007A0F46" w:rsidP="007A0F46">
      <w:pPr>
        <w:ind w:left="426" w:right="848"/>
        <w:jc w:val="both"/>
        <w:rPr>
          <w:b/>
          <w:lang w:val="en-GB"/>
        </w:rPr>
      </w:pPr>
      <w:r w:rsidRPr="00262068">
        <w:rPr>
          <w:b/>
          <w:lang w:val="en-GB"/>
        </w:rPr>
        <w:t>EUREGA</w:t>
      </w:r>
      <w:r w:rsidR="00C63959">
        <w:rPr>
          <w:b/>
          <w:lang w:val="en-GB"/>
        </w:rPr>
        <w:t>:</w:t>
      </w:r>
      <w:r w:rsidRPr="00262068">
        <w:rPr>
          <w:b/>
          <w:lang w:val="en-GB"/>
        </w:rPr>
        <w:t xml:space="preserve"> </w:t>
      </w:r>
      <w:r w:rsidR="00A41D91">
        <w:rPr>
          <w:b/>
          <w:lang w:val="en-GB"/>
        </w:rPr>
        <w:t>gastronomy as a</w:t>
      </w:r>
      <w:r w:rsidR="00A41D91" w:rsidRPr="00A74E1A">
        <w:rPr>
          <w:lang w:val="en-GB"/>
        </w:rPr>
        <w:t xml:space="preserve"> </w:t>
      </w:r>
      <w:r w:rsidR="00A41D91" w:rsidRPr="00A41D91">
        <w:rPr>
          <w:b/>
          <w:lang w:val="en-GB"/>
        </w:rPr>
        <w:t xml:space="preserve">cultural asset </w:t>
      </w:r>
      <w:r w:rsidR="00A41D91">
        <w:rPr>
          <w:b/>
          <w:lang w:val="en-GB"/>
        </w:rPr>
        <w:t>and</w:t>
      </w:r>
      <w:r w:rsidR="00A41D91" w:rsidRPr="00A41D91">
        <w:rPr>
          <w:b/>
          <w:lang w:val="en-GB"/>
        </w:rPr>
        <w:t xml:space="preserve"> necessary tool </w:t>
      </w:r>
    </w:p>
    <w:p w14:paraId="25667887" w14:textId="77777777" w:rsidR="00794110" w:rsidRDefault="00794110" w:rsidP="007A0F46">
      <w:pPr>
        <w:ind w:left="426" w:right="848"/>
        <w:jc w:val="both"/>
        <w:rPr>
          <w:lang w:val="en-GB"/>
        </w:rPr>
      </w:pPr>
    </w:p>
    <w:p w14:paraId="6D46F42D" w14:textId="70D46E26" w:rsidR="007A0F46" w:rsidRPr="00262068" w:rsidRDefault="00794110" w:rsidP="007A0F46">
      <w:pPr>
        <w:ind w:left="426" w:right="848"/>
        <w:jc w:val="both"/>
        <w:rPr>
          <w:lang w:val="en-GB"/>
        </w:rPr>
      </w:pPr>
      <w:r>
        <w:rPr>
          <w:lang w:val="en-GB"/>
        </w:rPr>
        <w:t>E</w:t>
      </w:r>
      <w:r w:rsidR="00A41D91" w:rsidRPr="00A74E1A">
        <w:rPr>
          <w:lang w:val="en-GB"/>
        </w:rPr>
        <w:t>UREGA is an INTERREG</w:t>
      </w:r>
      <w:r w:rsidR="003E256C" w:rsidRPr="00A74E1A">
        <w:rPr>
          <w:lang w:val="en-GB"/>
        </w:rPr>
        <w:t xml:space="preserve"> project that highlights </w:t>
      </w:r>
      <w:r w:rsidR="00C63959" w:rsidRPr="00A74E1A">
        <w:rPr>
          <w:lang w:val="en-GB"/>
        </w:rPr>
        <w:t xml:space="preserve">the importance of </w:t>
      </w:r>
      <w:r w:rsidR="003E256C" w:rsidRPr="00A74E1A">
        <w:rPr>
          <w:lang w:val="en-GB"/>
        </w:rPr>
        <w:t xml:space="preserve">gastronomy in </w:t>
      </w:r>
      <w:r w:rsidR="00C63959" w:rsidRPr="00A74E1A">
        <w:rPr>
          <w:lang w:val="en-GB"/>
        </w:rPr>
        <w:t xml:space="preserve">a country’s policies and strategic decision-making. </w:t>
      </w:r>
      <w:r w:rsidR="00C63959">
        <w:rPr>
          <w:lang w:val="en-GB"/>
        </w:rPr>
        <w:t xml:space="preserve">In </w:t>
      </w:r>
      <w:r w:rsidR="007A0F46" w:rsidRPr="00262068">
        <w:rPr>
          <w:lang w:val="en-GB"/>
        </w:rPr>
        <w:t>2016</w:t>
      </w:r>
      <w:r w:rsidR="00C63959">
        <w:rPr>
          <w:lang w:val="en-GB"/>
        </w:rPr>
        <w:t>, Catalonia was chosen as European Region of Gastronomy</w:t>
      </w:r>
      <w:r w:rsidR="0092207F">
        <w:rPr>
          <w:lang w:val="en-GB"/>
        </w:rPr>
        <w:t>. A</w:t>
      </w:r>
      <w:r w:rsidR="00C63959">
        <w:rPr>
          <w:lang w:val="en-GB"/>
        </w:rPr>
        <w:t>s a result of that experience</w:t>
      </w:r>
      <w:r w:rsidR="00A96EEA">
        <w:rPr>
          <w:lang w:val="en-GB"/>
        </w:rPr>
        <w:t xml:space="preserve">, </w:t>
      </w:r>
      <w:r w:rsidR="00C63959">
        <w:rPr>
          <w:lang w:val="en-GB"/>
        </w:rPr>
        <w:t>the</w:t>
      </w:r>
      <w:r w:rsidR="007A0F46" w:rsidRPr="00262068">
        <w:rPr>
          <w:lang w:val="en-GB"/>
        </w:rPr>
        <w:t xml:space="preserve"> EUREGA </w:t>
      </w:r>
      <w:r w:rsidR="00C63959">
        <w:rPr>
          <w:lang w:val="en-GB"/>
        </w:rPr>
        <w:t>project was launched</w:t>
      </w:r>
      <w:r w:rsidR="00A96EEA">
        <w:rPr>
          <w:lang w:val="en-GB"/>
        </w:rPr>
        <w:t xml:space="preserve"> in</w:t>
      </w:r>
      <w:r w:rsidR="00A96EEA" w:rsidRPr="00262068">
        <w:rPr>
          <w:lang w:val="en-GB"/>
        </w:rPr>
        <w:t xml:space="preserve"> 2018</w:t>
      </w:r>
      <w:r w:rsidR="0092207F">
        <w:rPr>
          <w:lang w:val="en-GB"/>
        </w:rPr>
        <w:t>,</w:t>
      </w:r>
      <w:r w:rsidR="00FB4ECC">
        <w:rPr>
          <w:lang w:val="en-GB"/>
        </w:rPr>
        <w:t xml:space="preserve"> with other European partners, </w:t>
      </w:r>
      <w:r w:rsidR="00C63959">
        <w:rPr>
          <w:lang w:val="en-GB"/>
        </w:rPr>
        <w:t xml:space="preserve">to </w:t>
      </w:r>
      <w:r w:rsidR="00FB4ECC">
        <w:rPr>
          <w:lang w:val="en-GB"/>
        </w:rPr>
        <w:t xml:space="preserve">run </w:t>
      </w:r>
      <w:r w:rsidR="00C63959">
        <w:rPr>
          <w:lang w:val="en-GB"/>
        </w:rPr>
        <w:t xml:space="preserve">between 2018 and </w:t>
      </w:r>
      <w:r w:rsidR="007A0F46" w:rsidRPr="00262068">
        <w:rPr>
          <w:lang w:val="en-GB"/>
        </w:rPr>
        <w:t>2022.</w:t>
      </w:r>
      <w:r w:rsidRPr="00262068" w:rsidDel="00794110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7A0F46" w:rsidRPr="00262068">
        <w:rPr>
          <w:lang w:val="en-GB"/>
        </w:rPr>
        <w:t>EUREGA</w:t>
      </w:r>
      <w:r w:rsidR="00C63959">
        <w:rPr>
          <w:lang w:val="en-GB"/>
        </w:rPr>
        <w:t xml:space="preserve">’s </w:t>
      </w:r>
      <w:r w:rsidR="00FB4ECC">
        <w:rPr>
          <w:lang w:val="en-GB"/>
        </w:rPr>
        <w:t>principal</w:t>
      </w:r>
      <w:r w:rsidR="00C63959">
        <w:rPr>
          <w:lang w:val="en-GB"/>
        </w:rPr>
        <w:t xml:space="preserve"> objective is to </w:t>
      </w:r>
      <w:r w:rsidR="0092207F">
        <w:rPr>
          <w:lang w:val="en-GB"/>
        </w:rPr>
        <w:t>the inclusion and promotion of</w:t>
      </w:r>
      <w:r w:rsidR="00C63959">
        <w:rPr>
          <w:lang w:val="en-GB"/>
        </w:rPr>
        <w:t xml:space="preserve"> the importance and potential of gastronomy</w:t>
      </w:r>
      <w:r w:rsidR="007A0F46" w:rsidRPr="00262068">
        <w:rPr>
          <w:lang w:val="en-GB"/>
        </w:rPr>
        <w:t xml:space="preserve"> </w:t>
      </w:r>
      <w:r w:rsidR="00C63959">
        <w:rPr>
          <w:lang w:val="en-GB"/>
        </w:rPr>
        <w:t>in EU strategy and policy at a regional and national level,</w:t>
      </w:r>
      <w:r w:rsidR="007A0F46" w:rsidRPr="00262068">
        <w:rPr>
          <w:lang w:val="en-GB"/>
        </w:rPr>
        <w:t xml:space="preserve"> </w:t>
      </w:r>
      <w:r w:rsidR="00C63959">
        <w:rPr>
          <w:lang w:val="en-GB"/>
        </w:rPr>
        <w:t>as an asset and a distinctive</w:t>
      </w:r>
      <w:r w:rsidR="007A0F46" w:rsidRPr="00262068">
        <w:rPr>
          <w:lang w:val="en-GB"/>
        </w:rPr>
        <w:t xml:space="preserve"> element </w:t>
      </w:r>
      <w:r w:rsidR="00C63959">
        <w:rPr>
          <w:lang w:val="en-GB"/>
        </w:rPr>
        <w:t>in regional cultural identity,</w:t>
      </w:r>
      <w:r w:rsidR="007D78FC" w:rsidRPr="00262068">
        <w:rPr>
          <w:lang w:val="en-GB"/>
        </w:rPr>
        <w:t xml:space="preserve"> </w:t>
      </w:r>
      <w:r w:rsidR="00FB4ECC">
        <w:rPr>
          <w:lang w:val="en-GB"/>
        </w:rPr>
        <w:t>capable of generating</w:t>
      </w:r>
      <w:r w:rsidR="00C63959">
        <w:rPr>
          <w:lang w:val="en-GB"/>
        </w:rPr>
        <w:t xml:space="preserve"> new opportunities for economic development.</w:t>
      </w:r>
    </w:p>
    <w:p w14:paraId="56124554" w14:textId="77777777" w:rsidR="007A0F46" w:rsidRPr="00262068" w:rsidRDefault="007A0F46" w:rsidP="007A0F46">
      <w:pPr>
        <w:ind w:left="426" w:right="848"/>
        <w:jc w:val="both"/>
        <w:rPr>
          <w:lang w:val="en-GB"/>
        </w:rPr>
      </w:pPr>
    </w:p>
    <w:p w14:paraId="15FA7F69" w14:textId="77777777" w:rsidR="007A0F46" w:rsidRPr="00262068" w:rsidRDefault="00C63959" w:rsidP="007A0F46">
      <w:pPr>
        <w:ind w:left="426" w:right="848"/>
        <w:jc w:val="both"/>
        <w:rPr>
          <w:lang w:val="en-GB"/>
        </w:rPr>
      </w:pPr>
      <w:r>
        <w:rPr>
          <w:lang w:val="en-GB"/>
        </w:rPr>
        <w:t>Gastronomy</w:t>
      </w:r>
      <w:r w:rsidR="007A0F46" w:rsidRPr="00262068">
        <w:rPr>
          <w:lang w:val="en-GB"/>
        </w:rPr>
        <w:t xml:space="preserve">, </w:t>
      </w:r>
      <w:r>
        <w:rPr>
          <w:lang w:val="en-GB"/>
        </w:rPr>
        <w:t xml:space="preserve">local and </w:t>
      </w:r>
      <w:r w:rsidR="007A0F46" w:rsidRPr="00262068">
        <w:rPr>
          <w:lang w:val="en-GB"/>
        </w:rPr>
        <w:t xml:space="preserve">regional </w:t>
      </w:r>
      <w:r>
        <w:rPr>
          <w:lang w:val="en-GB"/>
        </w:rPr>
        <w:t>food heritage</w:t>
      </w:r>
      <w:r w:rsidR="0092207F">
        <w:rPr>
          <w:lang w:val="en-GB"/>
        </w:rPr>
        <w:t>,</w:t>
      </w:r>
      <w:r>
        <w:rPr>
          <w:lang w:val="en-GB"/>
        </w:rPr>
        <w:t xml:space="preserve"> </w:t>
      </w:r>
      <w:r w:rsidR="00E603D5">
        <w:rPr>
          <w:lang w:val="en-GB"/>
        </w:rPr>
        <w:t>is part of Europe’s shared</w:t>
      </w:r>
      <w:r w:rsidR="007A0F46" w:rsidRPr="00262068">
        <w:rPr>
          <w:lang w:val="en-GB"/>
        </w:rPr>
        <w:t xml:space="preserve"> cultural </w:t>
      </w:r>
      <w:r w:rsidR="00FB4ECC">
        <w:rPr>
          <w:lang w:val="en-GB"/>
        </w:rPr>
        <w:t xml:space="preserve">heritage </w:t>
      </w:r>
      <w:r w:rsidR="00E603D5">
        <w:rPr>
          <w:lang w:val="en-GB"/>
        </w:rPr>
        <w:t>and an important economic asset</w:t>
      </w:r>
      <w:r w:rsidR="007A0F46" w:rsidRPr="00262068">
        <w:rPr>
          <w:lang w:val="en-GB"/>
        </w:rPr>
        <w:t xml:space="preserve">. </w:t>
      </w:r>
      <w:r w:rsidR="00CB1093">
        <w:rPr>
          <w:lang w:val="en-GB"/>
        </w:rPr>
        <w:t>R</w:t>
      </w:r>
      <w:r w:rsidR="00E603D5">
        <w:rPr>
          <w:lang w:val="en-GB"/>
        </w:rPr>
        <w:t xml:space="preserve">egional </w:t>
      </w:r>
      <w:proofErr w:type="spellStart"/>
      <w:r w:rsidR="007A0F46" w:rsidRPr="00262068">
        <w:rPr>
          <w:lang w:val="en-GB"/>
        </w:rPr>
        <w:t>agr</w:t>
      </w:r>
      <w:r w:rsidR="00CB1093">
        <w:rPr>
          <w:lang w:val="en-GB"/>
        </w:rPr>
        <w:t>ifood</w:t>
      </w:r>
      <w:proofErr w:type="spellEnd"/>
      <w:r w:rsidR="00CB1093">
        <w:rPr>
          <w:lang w:val="en-GB"/>
        </w:rPr>
        <w:t xml:space="preserve"> value chains and the cooperation they generate between different sectors – </w:t>
      </w:r>
      <w:r w:rsidR="0092207F">
        <w:rPr>
          <w:lang w:val="en-GB"/>
        </w:rPr>
        <w:t xml:space="preserve">including the </w:t>
      </w:r>
      <w:proofErr w:type="spellStart"/>
      <w:r w:rsidR="0092207F">
        <w:rPr>
          <w:lang w:val="en-GB"/>
        </w:rPr>
        <w:t>agrifood</w:t>
      </w:r>
      <w:proofErr w:type="spellEnd"/>
      <w:r w:rsidR="0092207F">
        <w:rPr>
          <w:lang w:val="en-GB"/>
        </w:rPr>
        <w:t xml:space="preserve"> sector, </w:t>
      </w:r>
      <w:r w:rsidR="00CB1093">
        <w:rPr>
          <w:lang w:val="en-GB"/>
        </w:rPr>
        <w:t xml:space="preserve">tourism, the hotel business, education and </w:t>
      </w:r>
      <w:r w:rsidR="00DB1A49">
        <w:rPr>
          <w:lang w:val="en-GB"/>
        </w:rPr>
        <w:t xml:space="preserve">others – offer significant potential for </w:t>
      </w:r>
      <w:r w:rsidR="007A0F46" w:rsidRPr="00262068">
        <w:rPr>
          <w:lang w:val="en-GB"/>
        </w:rPr>
        <w:t>local</w:t>
      </w:r>
      <w:r w:rsidR="00DB1A49">
        <w:rPr>
          <w:lang w:val="en-GB"/>
        </w:rPr>
        <w:t xml:space="preserve"> development</w:t>
      </w:r>
      <w:r w:rsidR="00A315DF">
        <w:rPr>
          <w:lang w:val="en-GB"/>
        </w:rPr>
        <w:t xml:space="preserve"> in the face of</w:t>
      </w:r>
      <w:r w:rsidR="007A0F46" w:rsidRPr="00262068">
        <w:rPr>
          <w:lang w:val="en-GB"/>
        </w:rPr>
        <w:t xml:space="preserve"> </w:t>
      </w:r>
      <w:r w:rsidR="00DB1A49">
        <w:rPr>
          <w:lang w:val="en-GB"/>
        </w:rPr>
        <w:t>complex challenges</w:t>
      </w:r>
      <w:r w:rsidR="0092207F">
        <w:rPr>
          <w:lang w:val="en-GB"/>
        </w:rPr>
        <w:t>,</w:t>
      </w:r>
      <w:r w:rsidR="00DB1A49">
        <w:rPr>
          <w:lang w:val="en-GB"/>
        </w:rPr>
        <w:t xml:space="preserve"> such as </w:t>
      </w:r>
      <w:r w:rsidR="001C5BA5">
        <w:rPr>
          <w:lang w:val="en-GB"/>
        </w:rPr>
        <w:t>gastronomic</w:t>
      </w:r>
      <w:r w:rsidR="00CF469F">
        <w:rPr>
          <w:lang w:val="en-GB"/>
        </w:rPr>
        <w:t xml:space="preserve"> uniformity </w:t>
      </w:r>
      <w:r w:rsidR="001C5BA5">
        <w:rPr>
          <w:lang w:val="en-GB"/>
        </w:rPr>
        <w:t>and</w:t>
      </w:r>
      <w:r w:rsidR="007A0F46" w:rsidRPr="00262068">
        <w:rPr>
          <w:lang w:val="en-GB"/>
        </w:rPr>
        <w:t xml:space="preserve"> </w:t>
      </w:r>
      <w:r w:rsidR="001C5BA5">
        <w:rPr>
          <w:lang w:val="en-GB"/>
        </w:rPr>
        <w:t>impoverishment</w:t>
      </w:r>
      <w:r w:rsidR="0092207F">
        <w:rPr>
          <w:lang w:val="en-GB"/>
        </w:rPr>
        <w:t xml:space="preserve"> and</w:t>
      </w:r>
      <w:r w:rsidR="001C5BA5">
        <w:rPr>
          <w:lang w:val="en-GB"/>
        </w:rPr>
        <w:t xml:space="preserve"> all that the</w:t>
      </w:r>
      <w:r w:rsidR="001D0E5B">
        <w:rPr>
          <w:lang w:val="en-GB"/>
        </w:rPr>
        <w:t>y</w:t>
      </w:r>
      <w:r w:rsidR="001C5BA5">
        <w:rPr>
          <w:lang w:val="en-GB"/>
        </w:rPr>
        <w:t xml:space="preserve"> </w:t>
      </w:r>
      <w:r w:rsidR="001D0E5B">
        <w:rPr>
          <w:lang w:val="en-GB"/>
        </w:rPr>
        <w:t>entail</w:t>
      </w:r>
      <w:r w:rsidR="007D78FC" w:rsidRPr="00262068">
        <w:rPr>
          <w:lang w:val="en-GB"/>
        </w:rPr>
        <w:t>,</w:t>
      </w:r>
      <w:r w:rsidR="007A0F46" w:rsidRPr="00262068">
        <w:rPr>
          <w:lang w:val="en-GB"/>
        </w:rPr>
        <w:t xml:space="preserve"> </w:t>
      </w:r>
      <w:r w:rsidR="001D0E5B">
        <w:rPr>
          <w:lang w:val="en-GB"/>
        </w:rPr>
        <w:t>deriving</w:t>
      </w:r>
      <w:r w:rsidR="00A315DF">
        <w:rPr>
          <w:lang w:val="en-GB"/>
        </w:rPr>
        <w:t xml:space="preserve"> from globalisation.</w:t>
      </w:r>
      <w:r w:rsidR="007A0F46" w:rsidRPr="00262068">
        <w:rPr>
          <w:lang w:val="en-GB"/>
        </w:rPr>
        <w:t xml:space="preserve"> </w:t>
      </w:r>
      <w:r w:rsidR="007D78FC" w:rsidRPr="00262068">
        <w:rPr>
          <w:lang w:val="en-GB"/>
        </w:rPr>
        <w:t>EUREGA</w:t>
      </w:r>
      <w:r w:rsidR="00A315DF">
        <w:rPr>
          <w:lang w:val="en-GB"/>
        </w:rPr>
        <w:t>’s efforts are focused on</w:t>
      </w:r>
      <w:r w:rsidR="007D78FC" w:rsidRPr="00262068">
        <w:rPr>
          <w:lang w:val="en-GB"/>
        </w:rPr>
        <w:t xml:space="preserve"> </w:t>
      </w:r>
      <w:r w:rsidR="001C5BA5">
        <w:rPr>
          <w:lang w:val="en-GB"/>
        </w:rPr>
        <w:t>highlighting</w:t>
      </w:r>
      <w:r w:rsidR="00A315DF">
        <w:rPr>
          <w:lang w:val="en-GB"/>
        </w:rPr>
        <w:t xml:space="preserve"> the singularity of gastronomic heritage as a </w:t>
      </w:r>
      <w:r w:rsidR="001C5BA5">
        <w:rPr>
          <w:lang w:val="en-GB"/>
        </w:rPr>
        <w:t xml:space="preserve">subject for </w:t>
      </w:r>
      <w:r w:rsidR="007A0F46" w:rsidRPr="00262068">
        <w:rPr>
          <w:lang w:val="en-GB"/>
        </w:rPr>
        <w:t>protec</w:t>
      </w:r>
      <w:r w:rsidR="001C5BA5">
        <w:rPr>
          <w:lang w:val="en-GB"/>
        </w:rPr>
        <w:t>tion and empowerment in public policy-making</w:t>
      </w:r>
      <w:r w:rsidR="007A0F46" w:rsidRPr="00262068">
        <w:rPr>
          <w:lang w:val="en-GB"/>
        </w:rPr>
        <w:t xml:space="preserve">. </w:t>
      </w:r>
      <w:r w:rsidR="001B426F">
        <w:rPr>
          <w:lang w:val="en-GB"/>
        </w:rPr>
        <w:t xml:space="preserve">These are the goals and the </w:t>
      </w:r>
      <w:r w:rsidR="001D63A0">
        <w:rPr>
          <w:lang w:val="en-GB"/>
        </w:rPr>
        <w:t xml:space="preserve">areas of </w:t>
      </w:r>
      <w:r w:rsidR="006E4A7B">
        <w:rPr>
          <w:lang w:val="en-GB"/>
        </w:rPr>
        <w:t xml:space="preserve">work established by the </w:t>
      </w:r>
      <w:r w:rsidR="001B426F">
        <w:rPr>
          <w:lang w:val="en-GB"/>
        </w:rPr>
        <w:t>9 partners in the</w:t>
      </w:r>
      <w:r w:rsidR="007A0F46" w:rsidRPr="00262068">
        <w:rPr>
          <w:lang w:val="en-GB"/>
        </w:rPr>
        <w:t xml:space="preserve"> EUREGA </w:t>
      </w:r>
      <w:r w:rsidR="006E4A7B">
        <w:rPr>
          <w:lang w:val="en-GB"/>
        </w:rPr>
        <w:t>project</w:t>
      </w:r>
      <w:r w:rsidR="001B426F">
        <w:rPr>
          <w:lang w:val="en-GB"/>
        </w:rPr>
        <w:t>.</w:t>
      </w:r>
    </w:p>
    <w:p w14:paraId="45F69518" w14:textId="77777777" w:rsidR="007A0F46" w:rsidRPr="00262068" w:rsidRDefault="007A0F46" w:rsidP="007A0F46">
      <w:pPr>
        <w:ind w:left="426" w:right="848"/>
        <w:jc w:val="both"/>
        <w:rPr>
          <w:lang w:val="en-GB"/>
        </w:rPr>
      </w:pPr>
    </w:p>
    <w:p w14:paraId="16504EDF" w14:textId="77777777" w:rsidR="004D2422" w:rsidRPr="00262068" w:rsidRDefault="004D2422" w:rsidP="007A0F46">
      <w:pPr>
        <w:ind w:left="426" w:right="848"/>
        <w:jc w:val="both"/>
        <w:rPr>
          <w:lang w:val="en-GB"/>
        </w:rPr>
      </w:pPr>
    </w:p>
    <w:p w14:paraId="21EE8FEA" w14:textId="518EA406" w:rsidR="004D2422" w:rsidRPr="00A74E1A" w:rsidRDefault="00C54075" w:rsidP="007A0F46">
      <w:pPr>
        <w:ind w:left="426" w:right="848"/>
        <w:jc w:val="both"/>
        <w:rPr>
          <w:b/>
          <w:lang w:val="en-GB"/>
        </w:rPr>
      </w:pPr>
      <w:r w:rsidRPr="00A74E1A">
        <w:rPr>
          <w:b/>
          <w:lang w:val="en-GB"/>
        </w:rPr>
        <w:t>Participating regions in EUREGA</w:t>
      </w:r>
    </w:p>
    <w:p w14:paraId="5813C1BF" w14:textId="77777777" w:rsidR="007A0F46" w:rsidRPr="00533DA5" w:rsidRDefault="00533DA5" w:rsidP="00533DA5">
      <w:pPr>
        <w:ind w:left="426" w:right="848"/>
        <w:jc w:val="both"/>
        <w:rPr>
          <w:lang w:val="en-GB"/>
        </w:rPr>
      </w:pPr>
      <w:r w:rsidRPr="00533DA5">
        <w:rPr>
          <w:lang w:val="en-GB"/>
        </w:rPr>
        <w:t xml:space="preserve">The 9 partners of the </w:t>
      </w:r>
      <w:proofErr w:type="spellStart"/>
      <w:r w:rsidRPr="00533DA5">
        <w:rPr>
          <w:lang w:val="en-GB"/>
        </w:rPr>
        <w:t>Eurega</w:t>
      </w:r>
      <w:proofErr w:type="spellEnd"/>
      <w:r w:rsidRPr="00533DA5">
        <w:rPr>
          <w:lang w:val="en-GB"/>
        </w:rPr>
        <w:t xml:space="preserve"> project are: Municipality of 's-Hertogenbosch (Netherlands), Province of Noord-Brabant (Netherlands), </w:t>
      </w:r>
      <w:proofErr w:type="spellStart"/>
      <w:r w:rsidRPr="00533DA5">
        <w:rPr>
          <w:lang w:val="en-GB"/>
        </w:rPr>
        <w:t>ProAgria</w:t>
      </w:r>
      <w:proofErr w:type="spellEnd"/>
      <w:r w:rsidRPr="00533DA5">
        <w:rPr>
          <w:lang w:val="en-GB"/>
        </w:rPr>
        <w:t xml:space="preserve"> </w:t>
      </w:r>
      <w:proofErr w:type="spellStart"/>
      <w:r w:rsidRPr="00533DA5">
        <w:rPr>
          <w:lang w:val="en-GB"/>
        </w:rPr>
        <w:t>Pohjois-Savo</w:t>
      </w:r>
      <w:proofErr w:type="spellEnd"/>
      <w:r w:rsidRPr="00533DA5">
        <w:rPr>
          <w:lang w:val="en-GB"/>
        </w:rPr>
        <w:t xml:space="preserve"> (Finland), Northern and Western Regional Assembly (Ireland), Development Agency of South Aegean Region -READ S.A. (Greece), Sibiu County Council (Romania), </w:t>
      </w:r>
      <w:proofErr w:type="spellStart"/>
      <w:r w:rsidRPr="00533DA5">
        <w:rPr>
          <w:lang w:val="en-GB"/>
        </w:rPr>
        <w:t>Hajdú</w:t>
      </w:r>
      <w:proofErr w:type="spellEnd"/>
      <w:r w:rsidRPr="00533DA5">
        <w:rPr>
          <w:lang w:val="en-GB"/>
        </w:rPr>
        <w:t xml:space="preserve">-Bihar County Government (Hungary), </w:t>
      </w:r>
      <w:r w:rsidR="007A0F46" w:rsidRPr="00533DA5">
        <w:rPr>
          <w:lang w:val="en-GB"/>
        </w:rPr>
        <w:t>IGCAT (Catalunya)</w:t>
      </w:r>
      <w:r w:rsidRPr="00533DA5">
        <w:rPr>
          <w:lang w:val="en-GB"/>
        </w:rPr>
        <w:t xml:space="preserve"> and </w:t>
      </w:r>
      <w:proofErr w:type="spellStart"/>
      <w:r w:rsidRPr="00533DA5">
        <w:rPr>
          <w:lang w:val="en-GB"/>
        </w:rPr>
        <w:t>Prodeca</w:t>
      </w:r>
      <w:proofErr w:type="spellEnd"/>
      <w:r w:rsidRPr="00533DA5">
        <w:rPr>
          <w:lang w:val="en-GB"/>
        </w:rPr>
        <w:t xml:space="preserve"> – Government of Catalonia (Catalonia).</w:t>
      </w:r>
    </w:p>
    <w:p w14:paraId="08FCB001" w14:textId="77777777" w:rsidR="007A0F46" w:rsidRPr="00262068" w:rsidRDefault="007A0F46" w:rsidP="007A0F46">
      <w:pPr>
        <w:ind w:right="851"/>
        <w:jc w:val="both"/>
        <w:rPr>
          <w:lang w:val="en-GB"/>
        </w:rPr>
      </w:pPr>
    </w:p>
    <w:p w14:paraId="60F8D441" w14:textId="77777777" w:rsidR="008815A1" w:rsidRPr="00262068" w:rsidRDefault="008815A1" w:rsidP="00155395">
      <w:pPr>
        <w:ind w:left="426" w:right="848"/>
        <w:jc w:val="both"/>
        <w:rPr>
          <w:lang w:val="en-GB"/>
        </w:rPr>
      </w:pPr>
    </w:p>
    <w:p w14:paraId="44F39CCD" w14:textId="77777777" w:rsidR="00231A39" w:rsidRPr="00262068" w:rsidRDefault="001D63A0" w:rsidP="00155395">
      <w:pPr>
        <w:ind w:left="426" w:right="848"/>
        <w:rPr>
          <w:lang w:val="en-GB"/>
        </w:rPr>
      </w:pPr>
      <w:r>
        <w:rPr>
          <w:b/>
          <w:lang w:val="en-GB"/>
        </w:rPr>
        <w:t>About</w:t>
      </w:r>
      <w:r w:rsidR="000D27A3" w:rsidRPr="00262068">
        <w:rPr>
          <w:b/>
          <w:lang w:val="en-GB"/>
        </w:rPr>
        <w:t xml:space="preserve"> </w:t>
      </w:r>
      <w:proofErr w:type="spellStart"/>
      <w:r w:rsidR="00231A39" w:rsidRPr="00262068">
        <w:rPr>
          <w:b/>
          <w:lang w:val="en-GB"/>
        </w:rPr>
        <w:t>Prodeca</w:t>
      </w:r>
      <w:proofErr w:type="spellEnd"/>
    </w:p>
    <w:p w14:paraId="50D3407C" w14:textId="77777777" w:rsidR="00D17B24" w:rsidRPr="00262068" w:rsidRDefault="00D17B24" w:rsidP="00155395">
      <w:pPr>
        <w:ind w:left="426" w:right="848"/>
        <w:rPr>
          <w:lang w:val="en-GB"/>
        </w:rPr>
      </w:pPr>
    </w:p>
    <w:p w14:paraId="535DB0FC" w14:textId="77777777" w:rsidR="00EE600C" w:rsidRDefault="0060786D" w:rsidP="0060786D">
      <w:pPr>
        <w:ind w:left="425" w:right="851"/>
        <w:jc w:val="both"/>
        <w:rPr>
          <w:lang w:val="en-GB"/>
        </w:rPr>
      </w:pPr>
      <w:proofErr w:type="spellStart"/>
      <w:r w:rsidRPr="00262068">
        <w:rPr>
          <w:lang w:val="en-GB"/>
        </w:rPr>
        <w:t>Prodeca</w:t>
      </w:r>
      <w:proofErr w:type="spellEnd"/>
      <w:r w:rsidR="00A92155" w:rsidRPr="00262068">
        <w:rPr>
          <w:lang w:val="en-GB"/>
        </w:rPr>
        <w:t xml:space="preserve"> </w:t>
      </w:r>
      <w:r w:rsidR="00ED5DAB">
        <w:rPr>
          <w:lang w:val="en-GB"/>
        </w:rPr>
        <w:t>is a public company of the</w:t>
      </w:r>
      <w:r w:rsidR="00A92155" w:rsidRPr="00262068">
        <w:rPr>
          <w:lang w:val="en-GB"/>
        </w:rPr>
        <w:t xml:space="preserve"> </w:t>
      </w:r>
      <w:r w:rsidR="00ED5DAB">
        <w:rPr>
          <w:lang w:val="en-US"/>
        </w:rPr>
        <w:t>Ministry</w:t>
      </w:r>
      <w:r w:rsidR="00ED5DAB" w:rsidRPr="00ED5DAB">
        <w:rPr>
          <w:lang w:val="en-US"/>
        </w:rPr>
        <w:t xml:space="preserve"> of Agriculture, Livestock, Fisheries and Food of the Government of Catalonia</w:t>
      </w:r>
      <w:r w:rsidR="00ED5DAB">
        <w:rPr>
          <w:lang w:val="en-US"/>
        </w:rPr>
        <w:t xml:space="preserve">. </w:t>
      </w:r>
      <w:r w:rsidR="00ED5DAB">
        <w:rPr>
          <w:lang w:val="en-GB"/>
        </w:rPr>
        <w:t>Its mission is to</w:t>
      </w:r>
      <w:r w:rsidR="00A92155" w:rsidRPr="00262068">
        <w:rPr>
          <w:lang w:val="en-GB"/>
        </w:rPr>
        <w:t xml:space="preserve"> </w:t>
      </w:r>
      <w:r w:rsidR="00ED5DAB">
        <w:rPr>
          <w:lang w:val="en-GB"/>
        </w:rPr>
        <w:t xml:space="preserve">promote Catalan </w:t>
      </w:r>
      <w:proofErr w:type="spellStart"/>
      <w:r w:rsidR="00ED5DAB">
        <w:rPr>
          <w:lang w:val="en-GB"/>
        </w:rPr>
        <w:t>agrifood</w:t>
      </w:r>
      <w:proofErr w:type="spellEnd"/>
      <w:r w:rsidR="00ED5DAB">
        <w:rPr>
          <w:lang w:val="en-GB"/>
        </w:rPr>
        <w:t xml:space="preserve"> products</w:t>
      </w:r>
      <w:r w:rsidR="007E1A2E">
        <w:rPr>
          <w:lang w:val="en-GB"/>
        </w:rPr>
        <w:t xml:space="preserve">, </w:t>
      </w:r>
      <w:r w:rsidR="001D0E5B">
        <w:rPr>
          <w:lang w:val="en-GB"/>
        </w:rPr>
        <w:t>providing</w:t>
      </w:r>
      <w:r w:rsidR="00ED5DAB">
        <w:rPr>
          <w:lang w:val="en-GB"/>
        </w:rPr>
        <w:t xml:space="preserve"> </w:t>
      </w:r>
      <w:r w:rsidR="00331EDF">
        <w:rPr>
          <w:lang w:val="en-GB"/>
        </w:rPr>
        <w:t>support services in</w:t>
      </w:r>
      <w:r w:rsidR="00ED5DAB">
        <w:rPr>
          <w:lang w:val="en-GB"/>
        </w:rPr>
        <w:t xml:space="preserve"> marketing and internationalisation </w:t>
      </w:r>
      <w:r w:rsidR="001D0E5B">
        <w:rPr>
          <w:lang w:val="en-GB"/>
        </w:rPr>
        <w:t>to Cat</w:t>
      </w:r>
      <w:r w:rsidR="007B265D">
        <w:rPr>
          <w:lang w:val="en-GB"/>
        </w:rPr>
        <w:t xml:space="preserve">alan </w:t>
      </w:r>
      <w:proofErr w:type="spellStart"/>
      <w:r w:rsidR="007B265D">
        <w:rPr>
          <w:lang w:val="en-GB"/>
        </w:rPr>
        <w:t>agrifood</w:t>
      </w:r>
      <w:proofErr w:type="spellEnd"/>
      <w:r w:rsidR="007B265D">
        <w:rPr>
          <w:lang w:val="en-GB"/>
        </w:rPr>
        <w:t xml:space="preserve"> </w:t>
      </w:r>
      <w:r w:rsidR="001D0E5B">
        <w:rPr>
          <w:lang w:val="en-GB"/>
        </w:rPr>
        <w:t>businesses</w:t>
      </w:r>
      <w:r w:rsidR="006E4A7B">
        <w:rPr>
          <w:lang w:val="en-GB"/>
        </w:rPr>
        <w:t>,</w:t>
      </w:r>
      <w:r w:rsidR="00A92155" w:rsidRPr="00262068">
        <w:rPr>
          <w:lang w:val="en-GB"/>
        </w:rPr>
        <w:t xml:space="preserve"> </w:t>
      </w:r>
      <w:r w:rsidR="009A495D">
        <w:rPr>
          <w:lang w:val="en-GB"/>
        </w:rPr>
        <w:t xml:space="preserve">introductory </w:t>
      </w:r>
      <w:r w:rsidR="00A92155" w:rsidRPr="00262068">
        <w:rPr>
          <w:lang w:val="en-GB"/>
        </w:rPr>
        <w:t>progr</w:t>
      </w:r>
      <w:r w:rsidR="00331EDF">
        <w:rPr>
          <w:lang w:val="en-GB"/>
        </w:rPr>
        <w:t>am</w:t>
      </w:r>
      <w:r w:rsidR="00A92155" w:rsidRPr="00262068">
        <w:rPr>
          <w:lang w:val="en-GB"/>
        </w:rPr>
        <w:t xml:space="preserve">s </w:t>
      </w:r>
      <w:r w:rsidR="009A495D">
        <w:rPr>
          <w:lang w:val="en-GB"/>
        </w:rPr>
        <w:t>on</w:t>
      </w:r>
      <w:r w:rsidR="00331EDF">
        <w:rPr>
          <w:lang w:val="en-GB"/>
        </w:rPr>
        <w:t xml:space="preserve"> export markets</w:t>
      </w:r>
      <w:r w:rsidR="007E1A2E">
        <w:rPr>
          <w:lang w:val="en-GB"/>
        </w:rPr>
        <w:t>,</w:t>
      </w:r>
      <w:r w:rsidR="00A92155" w:rsidRPr="00262068">
        <w:rPr>
          <w:lang w:val="en-GB"/>
        </w:rPr>
        <w:t xml:space="preserve"> </w:t>
      </w:r>
      <w:r w:rsidR="007E1A2E" w:rsidRPr="00262068">
        <w:rPr>
          <w:lang w:val="en-GB"/>
        </w:rPr>
        <w:t>diversification</w:t>
      </w:r>
      <w:r w:rsidR="00A92155" w:rsidRPr="00262068">
        <w:rPr>
          <w:lang w:val="en-GB"/>
        </w:rPr>
        <w:t xml:space="preserve"> </w:t>
      </w:r>
      <w:r w:rsidR="007E1A2E">
        <w:rPr>
          <w:lang w:val="en-GB"/>
        </w:rPr>
        <w:t>and</w:t>
      </w:r>
      <w:r w:rsidR="00A92155" w:rsidRPr="00262068">
        <w:rPr>
          <w:lang w:val="en-GB"/>
        </w:rPr>
        <w:t xml:space="preserve"> </w:t>
      </w:r>
      <w:r w:rsidR="007E1A2E" w:rsidRPr="00262068">
        <w:rPr>
          <w:lang w:val="en-GB"/>
        </w:rPr>
        <w:t>consolidation</w:t>
      </w:r>
      <w:r w:rsidR="00A92155" w:rsidRPr="00262068">
        <w:rPr>
          <w:lang w:val="en-GB"/>
        </w:rPr>
        <w:t xml:space="preserve"> </w:t>
      </w:r>
      <w:r w:rsidR="007E1A2E">
        <w:rPr>
          <w:lang w:val="en-GB"/>
        </w:rPr>
        <w:t>in foreign markets, etc.</w:t>
      </w:r>
      <w:r w:rsidRPr="00262068">
        <w:rPr>
          <w:lang w:val="en-GB"/>
        </w:rPr>
        <w:t xml:space="preserve"> </w:t>
      </w:r>
      <w:proofErr w:type="spellStart"/>
      <w:r w:rsidRPr="00262068">
        <w:rPr>
          <w:lang w:val="en-GB"/>
        </w:rPr>
        <w:t>Prodeca</w:t>
      </w:r>
      <w:r w:rsidR="00333C63">
        <w:rPr>
          <w:lang w:val="en-GB"/>
        </w:rPr>
        <w:t>’s</w:t>
      </w:r>
      <w:proofErr w:type="spellEnd"/>
      <w:r w:rsidR="00333C63">
        <w:rPr>
          <w:lang w:val="en-GB"/>
        </w:rPr>
        <w:t xml:space="preserve"> work is based on coordination </w:t>
      </w:r>
      <w:r w:rsidR="009A495D">
        <w:rPr>
          <w:lang w:val="en-GB"/>
        </w:rPr>
        <w:t>with</w:t>
      </w:r>
      <w:r w:rsidR="00A92155" w:rsidRPr="00262068">
        <w:rPr>
          <w:lang w:val="en-GB"/>
        </w:rPr>
        <w:t xml:space="preserve"> </w:t>
      </w:r>
      <w:r w:rsidR="009A495D" w:rsidRPr="00262068">
        <w:rPr>
          <w:lang w:val="en-GB"/>
        </w:rPr>
        <w:t>associations</w:t>
      </w:r>
      <w:r w:rsidR="009A495D">
        <w:rPr>
          <w:lang w:val="en-GB"/>
        </w:rPr>
        <w:t xml:space="preserve"> and</w:t>
      </w:r>
      <w:r w:rsidR="00A92155" w:rsidRPr="00262068">
        <w:rPr>
          <w:lang w:val="en-GB"/>
        </w:rPr>
        <w:t xml:space="preserve"> agents </w:t>
      </w:r>
      <w:r w:rsidR="009A495D">
        <w:rPr>
          <w:lang w:val="en-GB"/>
        </w:rPr>
        <w:t xml:space="preserve">that promote </w:t>
      </w:r>
      <w:proofErr w:type="spellStart"/>
      <w:r w:rsidR="009A495D">
        <w:rPr>
          <w:lang w:val="en-GB"/>
        </w:rPr>
        <w:t>competi</w:t>
      </w:r>
      <w:r w:rsidR="001D0E5B">
        <w:rPr>
          <w:lang w:val="en-GB"/>
        </w:rPr>
        <w:t>ve</w:t>
      </w:r>
      <w:r w:rsidR="005568D5">
        <w:rPr>
          <w:lang w:val="en-GB"/>
        </w:rPr>
        <w:t>ness</w:t>
      </w:r>
      <w:proofErr w:type="spellEnd"/>
      <w:r w:rsidR="00A92155" w:rsidRPr="00262068">
        <w:rPr>
          <w:lang w:val="en-GB"/>
        </w:rPr>
        <w:t xml:space="preserve"> </w:t>
      </w:r>
      <w:r w:rsidR="009A495D">
        <w:rPr>
          <w:lang w:val="en-GB"/>
        </w:rPr>
        <w:t>and internat</w:t>
      </w:r>
      <w:r w:rsidR="00A92155" w:rsidRPr="00262068">
        <w:rPr>
          <w:lang w:val="en-GB"/>
        </w:rPr>
        <w:t>ionali</w:t>
      </w:r>
      <w:r w:rsidR="009A495D">
        <w:rPr>
          <w:lang w:val="en-GB"/>
        </w:rPr>
        <w:t>sa</w:t>
      </w:r>
      <w:r w:rsidR="00A92155" w:rsidRPr="00262068">
        <w:rPr>
          <w:lang w:val="en-GB"/>
        </w:rPr>
        <w:t>t</w:t>
      </w:r>
      <w:r w:rsidR="009A495D">
        <w:rPr>
          <w:lang w:val="en-GB"/>
        </w:rPr>
        <w:t>ion</w:t>
      </w:r>
      <w:r w:rsidR="00A92155" w:rsidRPr="00262068">
        <w:rPr>
          <w:lang w:val="en-GB"/>
        </w:rPr>
        <w:t xml:space="preserve"> </w:t>
      </w:r>
      <w:r w:rsidR="009A495D">
        <w:rPr>
          <w:lang w:val="en-GB"/>
        </w:rPr>
        <w:t xml:space="preserve">in the Catalan </w:t>
      </w:r>
      <w:proofErr w:type="spellStart"/>
      <w:r w:rsidR="009A495D">
        <w:rPr>
          <w:lang w:val="en-GB"/>
        </w:rPr>
        <w:t>agrifood</w:t>
      </w:r>
      <w:proofErr w:type="spellEnd"/>
      <w:r w:rsidR="009A495D">
        <w:rPr>
          <w:lang w:val="en-GB"/>
        </w:rPr>
        <w:t xml:space="preserve"> sector</w:t>
      </w:r>
      <w:r w:rsidRPr="00262068">
        <w:rPr>
          <w:lang w:val="en-GB"/>
        </w:rPr>
        <w:t xml:space="preserve">. </w:t>
      </w:r>
      <w:proofErr w:type="spellStart"/>
      <w:r w:rsidRPr="00262068">
        <w:rPr>
          <w:lang w:val="en-GB"/>
        </w:rPr>
        <w:t>Prodeca</w:t>
      </w:r>
      <w:proofErr w:type="spellEnd"/>
      <w:r w:rsidR="00A92155" w:rsidRPr="00262068">
        <w:rPr>
          <w:lang w:val="en-GB"/>
        </w:rPr>
        <w:t xml:space="preserve"> </w:t>
      </w:r>
      <w:r w:rsidR="00333C63">
        <w:rPr>
          <w:lang w:val="en-GB"/>
        </w:rPr>
        <w:t xml:space="preserve">also organises business </w:t>
      </w:r>
      <w:r w:rsidR="006E4A7B">
        <w:rPr>
          <w:lang w:val="en-GB"/>
        </w:rPr>
        <w:t>meetings</w:t>
      </w:r>
      <w:r w:rsidR="00A92155" w:rsidRPr="00262068">
        <w:rPr>
          <w:lang w:val="en-GB"/>
        </w:rPr>
        <w:t xml:space="preserve"> </w:t>
      </w:r>
      <w:r w:rsidR="00333C63">
        <w:rPr>
          <w:lang w:val="en-GB"/>
        </w:rPr>
        <w:t xml:space="preserve">between Catalan companies and </w:t>
      </w:r>
      <w:r w:rsidR="00333C63" w:rsidRPr="00262068">
        <w:rPr>
          <w:lang w:val="en-GB"/>
        </w:rPr>
        <w:t>different</w:t>
      </w:r>
      <w:r w:rsidR="00A92155" w:rsidRPr="00262068">
        <w:rPr>
          <w:lang w:val="en-GB"/>
        </w:rPr>
        <w:t xml:space="preserve"> agents </w:t>
      </w:r>
      <w:r w:rsidR="00333C63">
        <w:rPr>
          <w:lang w:val="en-GB"/>
        </w:rPr>
        <w:t xml:space="preserve">in national and international markets, and </w:t>
      </w:r>
      <w:r w:rsidR="005568D5">
        <w:rPr>
          <w:lang w:val="en-GB"/>
        </w:rPr>
        <w:t>takes part</w:t>
      </w:r>
      <w:r w:rsidR="00333C63">
        <w:rPr>
          <w:lang w:val="en-GB"/>
        </w:rPr>
        <w:t xml:space="preserve"> in initiatives </w:t>
      </w:r>
      <w:r w:rsidR="005568D5">
        <w:rPr>
          <w:lang w:val="en-GB"/>
        </w:rPr>
        <w:t>relating to</w:t>
      </w:r>
      <w:r w:rsidR="00333C63">
        <w:rPr>
          <w:lang w:val="en-GB"/>
        </w:rPr>
        <w:t xml:space="preserve"> Catalan gastronomy and the</w:t>
      </w:r>
      <w:r w:rsidR="00A92155" w:rsidRPr="00262068">
        <w:rPr>
          <w:lang w:val="en-GB"/>
        </w:rPr>
        <w:t xml:space="preserve"> </w:t>
      </w:r>
      <w:r w:rsidR="00333C63" w:rsidRPr="00262068">
        <w:rPr>
          <w:lang w:val="en-GB"/>
        </w:rPr>
        <w:t>Mediterranean</w:t>
      </w:r>
      <w:r w:rsidR="00333C63">
        <w:rPr>
          <w:lang w:val="en-GB"/>
        </w:rPr>
        <w:t xml:space="preserve"> diet as a </w:t>
      </w:r>
      <w:r w:rsidR="005568D5">
        <w:rPr>
          <w:lang w:val="en-GB"/>
        </w:rPr>
        <w:t>means of improving</w:t>
      </w:r>
      <w:r w:rsidR="00333C63">
        <w:rPr>
          <w:lang w:val="en-GB"/>
        </w:rPr>
        <w:t xml:space="preserve"> the </w:t>
      </w:r>
      <w:r w:rsidR="005568D5">
        <w:rPr>
          <w:lang w:val="en-GB"/>
        </w:rPr>
        <w:t>standing</w:t>
      </w:r>
      <w:r w:rsidR="00333C63">
        <w:rPr>
          <w:lang w:val="en-GB"/>
        </w:rPr>
        <w:t xml:space="preserve"> of Catalan </w:t>
      </w:r>
      <w:proofErr w:type="spellStart"/>
      <w:r w:rsidR="00333C63">
        <w:rPr>
          <w:lang w:val="en-GB"/>
        </w:rPr>
        <w:t>agrifood</w:t>
      </w:r>
      <w:proofErr w:type="spellEnd"/>
      <w:r w:rsidR="00333C63">
        <w:rPr>
          <w:lang w:val="en-GB"/>
        </w:rPr>
        <w:t xml:space="preserve"> products and companie</w:t>
      </w:r>
      <w:r w:rsidR="005568D5">
        <w:rPr>
          <w:lang w:val="en-GB"/>
        </w:rPr>
        <w:t>s</w:t>
      </w:r>
      <w:r w:rsidR="00333C63">
        <w:rPr>
          <w:lang w:val="en-GB"/>
        </w:rPr>
        <w:t xml:space="preserve"> within Catalonia and around the word</w:t>
      </w:r>
      <w:r w:rsidR="00A92155" w:rsidRPr="00262068">
        <w:rPr>
          <w:lang w:val="en-GB"/>
        </w:rPr>
        <w:t>.</w:t>
      </w:r>
      <w:r w:rsidRPr="00262068">
        <w:rPr>
          <w:lang w:val="en-GB"/>
        </w:rPr>
        <w:t xml:space="preserve"> </w:t>
      </w:r>
      <w:proofErr w:type="spellStart"/>
      <w:r w:rsidRPr="00262068">
        <w:rPr>
          <w:lang w:val="en-GB"/>
        </w:rPr>
        <w:t>Prodeca</w:t>
      </w:r>
      <w:proofErr w:type="spellEnd"/>
      <w:r w:rsidRPr="00262068">
        <w:rPr>
          <w:lang w:val="en-GB"/>
        </w:rPr>
        <w:t xml:space="preserve"> </w:t>
      </w:r>
      <w:r w:rsidR="005568D5">
        <w:rPr>
          <w:lang w:val="en-GB"/>
        </w:rPr>
        <w:t>also takes part in</w:t>
      </w:r>
      <w:r w:rsidR="001A6B49">
        <w:rPr>
          <w:lang w:val="en-GB"/>
        </w:rPr>
        <w:t xml:space="preserve"> various European </w:t>
      </w:r>
      <w:r w:rsidR="00B3028D">
        <w:rPr>
          <w:lang w:val="en-GB"/>
        </w:rPr>
        <w:t xml:space="preserve">projects </w:t>
      </w:r>
      <w:r w:rsidR="00BB551E">
        <w:rPr>
          <w:lang w:val="en-GB"/>
        </w:rPr>
        <w:t xml:space="preserve">relating to </w:t>
      </w:r>
      <w:r w:rsidR="00B3028D">
        <w:rPr>
          <w:lang w:val="en-GB"/>
        </w:rPr>
        <w:t>the</w:t>
      </w:r>
      <w:r w:rsidR="00261FD3">
        <w:rPr>
          <w:lang w:val="en-GB"/>
        </w:rPr>
        <w:t xml:space="preserve"> competitiveness of </w:t>
      </w:r>
      <w:r w:rsidR="001A6B49">
        <w:rPr>
          <w:lang w:val="en-GB"/>
        </w:rPr>
        <w:t>Catalan companies</w:t>
      </w:r>
      <w:r w:rsidR="00BB551E">
        <w:rPr>
          <w:lang w:val="en-GB"/>
        </w:rPr>
        <w:t>,</w:t>
      </w:r>
      <w:r w:rsidR="001A6B49">
        <w:rPr>
          <w:lang w:val="en-GB"/>
        </w:rPr>
        <w:t xml:space="preserve"> </w:t>
      </w:r>
      <w:r w:rsidR="00BB551E">
        <w:rPr>
          <w:lang w:val="en-GB"/>
        </w:rPr>
        <w:t>via</w:t>
      </w:r>
      <w:r w:rsidR="007749F0">
        <w:rPr>
          <w:lang w:val="en-GB"/>
        </w:rPr>
        <w:t xml:space="preserve"> </w:t>
      </w:r>
      <w:r w:rsidR="00EE600C">
        <w:rPr>
          <w:lang w:val="en-GB"/>
        </w:rPr>
        <w:t xml:space="preserve">action plans </w:t>
      </w:r>
      <w:r w:rsidR="007749F0">
        <w:rPr>
          <w:lang w:val="en-GB"/>
        </w:rPr>
        <w:t xml:space="preserve">focused on </w:t>
      </w:r>
      <w:r w:rsidR="00EE600C">
        <w:rPr>
          <w:lang w:val="en-GB"/>
        </w:rPr>
        <w:t xml:space="preserve">gastronomy and the </w:t>
      </w:r>
      <w:proofErr w:type="spellStart"/>
      <w:r w:rsidR="00EE600C">
        <w:rPr>
          <w:lang w:val="en-GB"/>
        </w:rPr>
        <w:t>agrifood</w:t>
      </w:r>
      <w:proofErr w:type="spellEnd"/>
      <w:r w:rsidR="00EE600C">
        <w:rPr>
          <w:lang w:val="en-GB"/>
        </w:rPr>
        <w:t xml:space="preserve"> sector. </w:t>
      </w:r>
      <w:r w:rsidRPr="00262068">
        <w:rPr>
          <w:lang w:val="en-GB"/>
        </w:rPr>
        <w:t xml:space="preserve"> </w:t>
      </w:r>
    </w:p>
    <w:p w14:paraId="4C5B8884" w14:textId="77777777" w:rsidR="0060786D" w:rsidRPr="00262068" w:rsidRDefault="0060786D" w:rsidP="0060786D">
      <w:pPr>
        <w:ind w:left="425" w:right="851"/>
        <w:jc w:val="both"/>
        <w:rPr>
          <w:lang w:val="en-GB"/>
        </w:rPr>
      </w:pPr>
    </w:p>
    <w:p w14:paraId="6E91090A" w14:textId="47BADDB5" w:rsidR="00A92155" w:rsidRDefault="00A92155" w:rsidP="00CA23C9">
      <w:pPr>
        <w:ind w:left="425" w:right="851"/>
        <w:jc w:val="both"/>
        <w:rPr>
          <w:lang w:val="en-GB"/>
        </w:rPr>
      </w:pPr>
    </w:p>
    <w:p w14:paraId="5203174B" w14:textId="77777777" w:rsidR="008E030A" w:rsidRPr="008E030A" w:rsidRDefault="008E030A" w:rsidP="008E030A">
      <w:pPr>
        <w:ind w:left="425" w:right="851"/>
        <w:jc w:val="both"/>
        <w:rPr>
          <w:lang w:val="en-GB"/>
        </w:rPr>
      </w:pPr>
    </w:p>
    <w:p w14:paraId="0AFD31B9" w14:textId="4EAFA812" w:rsidR="008E030A" w:rsidRDefault="008E030A" w:rsidP="008E030A">
      <w:pPr>
        <w:ind w:left="425" w:right="851"/>
        <w:jc w:val="both"/>
        <w:rPr>
          <w:b/>
          <w:u w:val="single"/>
          <w:lang w:val="en-GB"/>
        </w:rPr>
      </w:pPr>
    </w:p>
    <w:p w14:paraId="38A7A5E6" w14:textId="43CF97D3" w:rsidR="008E030A" w:rsidRDefault="008E030A" w:rsidP="008E030A">
      <w:pPr>
        <w:ind w:left="425" w:right="851"/>
        <w:jc w:val="both"/>
        <w:rPr>
          <w:b/>
          <w:u w:val="single"/>
          <w:lang w:val="en-GB"/>
        </w:rPr>
      </w:pPr>
      <w:r w:rsidRPr="008E030A">
        <w:rPr>
          <w:b/>
          <w:noProof/>
          <w:u w:val="single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8CF60" wp14:editId="0D9B5A7A">
                <wp:simplePos x="0" y="0"/>
                <wp:positionH relativeFrom="column">
                  <wp:posOffset>267335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22860" b="1143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7A6B" w14:textId="77777777" w:rsidR="008E030A" w:rsidRDefault="008E030A" w:rsidP="00A74E1A">
                            <w:pPr>
                              <w:ind w:left="425" w:right="191"/>
                              <w:jc w:val="both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2F0A3B">
                              <w:rPr>
                                <w:b/>
                                <w:u w:val="single"/>
                                <w:lang w:val="en-GB"/>
                              </w:rPr>
                              <w:t>CONTACT INFORMATION</w:t>
                            </w:r>
                          </w:p>
                          <w:p w14:paraId="2A22AA33" w14:textId="18020CE9" w:rsidR="008E030A" w:rsidRDefault="008E030A"/>
                          <w:p w14:paraId="21B6048A" w14:textId="323CEB4C" w:rsidR="008E030A" w:rsidRDefault="008E030A"/>
                          <w:p w14:paraId="661B9BB2" w14:textId="4C30FABE" w:rsidR="008E030A" w:rsidRDefault="008E030A"/>
                          <w:p w14:paraId="0E102743" w14:textId="1CBEFFD2" w:rsidR="008E030A" w:rsidRDefault="008E030A"/>
                          <w:p w14:paraId="6668E3E4" w14:textId="77777777" w:rsidR="008E030A" w:rsidRDefault="008E03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8CF6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21.05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">
                <v:textbox style="mso-fit-shape-to-text:t">
                  <w:txbxContent>
                    <w:p w14:paraId="724B7A6B" w14:textId="77777777" w:rsidR="008E030A" w:rsidRDefault="008E030A" w:rsidP="00A74E1A">
                      <w:pPr>
                        <w:ind w:left="425" w:right="191"/>
                        <w:jc w:val="both"/>
                        <w:rPr>
                          <w:b/>
                          <w:u w:val="single"/>
                          <w:lang w:val="en-GB"/>
                        </w:rPr>
                      </w:pPr>
                      <w:r w:rsidRPr="002F0A3B">
                        <w:rPr>
                          <w:b/>
                          <w:u w:val="single"/>
                          <w:lang w:val="en-GB"/>
                        </w:rPr>
                        <w:t>CONTACT INFORMATION</w:t>
                      </w:r>
                    </w:p>
                    <w:p w14:paraId="2A22AA33" w14:textId="18020CE9" w:rsidR="008E030A" w:rsidRDefault="008E030A"/>
                    <w:p w14:paraId="21B6048A" w14:textId="323CEB4C" w:rsidR="008E030A" w:rsidRDefault="008E030A"/>
                    <w:p w14:paraId="661B9BB2" w14:textId="4C30FABE" w:rsidR="008E030A" w:rsidRDefault="008E030A"/>
                    <w:p w14:paraId="0E102743" w14:textId="1CBEFFD2" w:rsidR="008E030A" w:rsidRDefault="008E030A"/>
                    <w:p w14:paraId="6668E3E4" w14:textId="77777777" w:rsidR="008E030A" w:rsidRDefault="008E030A"/>
                  </w:txbxContent>
                </v:textbox>
                <w10:wrap type="square"/>
              </v:shape>
            </w:pict>
          </mc:Fallback>
        </mc:AlternateContent>
      </w:r>
    </w:p>
    <w:p w14:paraId="5D790637" w14:textId="77777777" w:rsidR="008E030A" w:rsidRPr="00A74E1A" w:rsidRDefault="008E030A" w:rsidP="008E030A">
      <w:pPr>
        <w:ind w:left="425" w:right="851"/>
        <w:jc w:val="both"/>
        <w:rPr>
          <w:b/>
          <w:u w:val="single"/>
          <w:lang w:val="en-GB"/>
        </w:rPr>
      </w:pPr>
    </w:p>
    <w:sectPr w:rsidR="008E030A" w:rsidRPr="00A74E1A" w:rsidSect="00115310">
      <w:headerReference w:type="default" r:id="rId8"/>
      <w:footerReference w:type="default" r:id="rId9"/>
      <w:pgSz w:w="11906" w:h="16838" w:code="9"/>
      <w:pgMar w:top="1843" w:right="851" w:bottom="851" w:left="851" w:header="142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70BF" w14:textId="77777777" w:rsidR="00E63377" w:rsidRDefault="00E63377" w:rsidP="003B4074">
      <w:r>
        <w:separator/>
      </w:r>
    </w:p>
  </w:endnote>
  <w:endnote w:type="continuationSeparator" w:id="0">
    <w:p w14:paraId="441DBA91" w14:textId="77777777" w:rsidR="00E63377" w:rsidRDefault="00E63377" w:rsidP="003B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2870" w14:textId="77777777" w:rsidR="007B265D" w:rsidRDefault="005A6C67">
    <w:pPr>
      <w:pStyle w:val="Voettekst"/>
    </w:pPr>
    <w:r>
      <w:rPr>
        <w:rFonts w:ascii="Arial" w:eastAsia="Arial" w:hAnsi="Arial"/>
        <w:noProof/>
        <w:sz w:val="20"/>
        <w:szCs w:val="20"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955DA" wp14:editId="19AF7240">
              <wp:simplePos x="0" y="0"/>
              <wp:positionH relativeFrom="column">
                <wp:posOffset>221615</wp:posOffset>
              </wp:positionH>
              <wp:positionV relativeFrom="paragraph">
                <wp:posOffset>175260</wp:posOffset>
              </wp:positionV>
              <wp:extent cx="6411595" cy="412115"/>
              <wp:effectExtent l="0" t="0" r="0" b="0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159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971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971"/>
                          </w:tblGrid>
                          <w:tr w:rsidR="007B265D" w14:paraId="59B69CA8" w14:textId="77777777">
                            <w:trPr>
                              <w:cantSplit/>
                              <w:trHeight w:hRule="exact" w:val="511"/>
                            </w:trPr>
                            <w:tc>
                              <w:tcPr>
                                <w:tcW w:w="9971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69" w:type="dxa"/>
                                  <w:tblInd w:w="1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48"/>
                                  <w:gridCol w:w="2507"/>
                                  <w:gridCol w:w="2507"/>
                                  <w:gridCol w:w="2507"/>
                                </w:tblGrid>
                                <w:tr w:rsidR="007B265D" w14:paraId="19B5239C" w14:textId="77777777">
                                  <w:trPr>
                                    <w:trHeight w:hRule="exact" w:val="147"/>
                                  </w:trPr>
                                  <w:tc>
                                    <w:tcPr>
                                      <w:tcW w:w="244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7ABEC402" w14:textId="77777777" w:rsidR="007B265D" w:rsidRDefault="007B265D" w:rsidP="00427982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7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3727ADD" w14:textId="77777777" w:rsidR="007B265D" w:rsidRDefault="007B265D" w:rsidP="00427982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7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9E026C2" w14:textId="77777777" w:rsidR="007B265D" w:rsidRDefault="007B265D" w:rsidP="00427982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07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73BBC58" w14:textId="77777777" w:rsidR="007B265D" w:rsidRDefault="007B265D" w:rsidP="00427982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523CE85" w14:textId="77777777" w:rsidR="007B265D" w:rsidRDefault="007B265D" w:rsidP="00427982">
                                <w:pPr>
                                  <w:pStyle w:val="L-I-EU-footnote"/>
                                </w:pPr>
                                <w:r w:rsidRPr="00966BF0">
                                  <w:rPr>
                                    <w:sz w:val="20"/>
                                  </w:rPr>
                                  <w:t>www.interregeurope.eu/eurega/</w:t>
                                </w:r>
                              </w:p>
                            </w:tc>
                          </w:tr>
                        </w:tbl>
                        <w:p w14:paraId="4DA4B8CA" w14:textId="77777777" w:rsidR="007B265D" w:rsidRPr="0098440B" w:rsidRDefault="007B265D" w:rsidP="00966BF0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955DA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margin-left:17.45pt;margin-top:13.8pt;width:504.8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" filled="f" stroked="f" strokeweight=".5pt">
              <v:textbox inset="0,0,0,0">
                <w:txbxContent>
                  <w:tbl>
                    <w:tblPr>
                      <w:tblW w:w="9971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971"/>
                    </w:tblGrid>
                    <w:tr w:rsidR="007B265D" w14:paraId="59B69CA8" w14:textId="77777777">
                      <w:trPr>
                        <w:cantSplit/>
                        <w:trHeight w:hRule="exact" w:val="511"/>
                      </w:trPr>
                      <w:tc>
                        <w:tcPr>
                          <w:tcW w:w="9971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69" w:type="dxa"/>
                            <w:tblInd w:w="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48"/>
                            <w:gridCol w:w="2507"/>
                            <w:gridCol w:w="2507"/>
                            <w:gridCol w:w="2507"/>
                          </w:tblGrid>
                          <w:tr w:rsidR="007B265D" w14:paraId="19B5239C" w14:textId="77777777">
                            <w:trPr>
                              <w:trHeight w:hRule="exact" w:val="147"/>
                            </w:trPr>
                            <w:tc>
                              <w:tcPr>
                                <w:tcW w:w="244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ABEC402" w14:textId="77777777" w:rsidR="007B265D" w:rsidRDefault="007B265D" w:rsidP="00427982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7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3727ADD" w14:textId="77777777" w:rsidR="007B265D" w:rsidRDefault="007B265D" w:rsidP="00427982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7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9E026C2" w14:textId="77777777" w:rsidR="007B265D" w:rsidRDefault="007B265D" w:rsidP="00427982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7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73BBC58" w14:textId="77777777" w:rsidR="007B265D" w:rsidRDefault="007B265D" w:rsidP="00427982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5523CE85" w14:textId="77777777" w:rsidR="007B265D" w:rsidRDefault="007B265D" w:rsidP="00427982">
                          <w:pPr>
                            <w:pStyle w:val="L-I-EU-footnote"/>
                          </w:pPr>
                          <w:r w:rsidRPr="00966BF0">
                            <w:rPr>
                              <w:sz w:val="20"/>
                            </w:rPr>
                            <w:t>www.interregeurope.eu/eurega/</w:t>
                          </w:r>
                        </w:p>
                      </w:tc>
                    </w:tr>
                  </w:tbl>
                  <w:p w14:paraId="4DA4B8CA" w14:textId="77777777" w:rsidR="007B265D" w:rsidRPr="0098440B" w:rsidRDefault="007B265D" w:rsidP="00966BF0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D66E" w14:textId="77777777" w:rsidR="00E63377" w:rsidRDefault="00E63377" w:rsidP="003B4074">
      <w:r>
        <w:separator/>
      </w:r>
    </w:p>
  </w:footnote>
  <w:footnote w:type="continuationSeparator" w:id="0">
    <w:p w14:paraId="7CB1D38B" w14:textId="77777777" w:rsidR="00E63377" w:rsidRDefault="00E63377" w:rsidP="003B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1D8D" w14:textId="77777777" w:rsidR="007B265D" w:rsidRPr="00077841" w:rsidRDefault="007B265D" w:rsidP="00CB35E1">
    <w:pPr>
      <w:pStyle w:val="Koptekst"/>
      <w:ind w:right="-569" w:hanging="709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E8EF6A6" wp14:editId="0D991BAB">
          <wp:simplePos x="0" y="0"/>
          <wp:positionH relativeFrom="column">
            <wp:posOffset>1341548</wp:posOffset>
          </wp:positionH>
          <wp:positionV relativeFrom="paragraph">
            <wp:posOffset>260631</wp:posOffset>
          </wp:positionV>
          <wp:extent cx="1678291" cy="381589"/>
          <wp:effectExtent l="0" t="0" r="0" b="0"/>
          <wp:wrapNone/>
          <wp:docPr id="50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291" cy="381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inline distT="0" distB="0" distL="0" distR="0" wp14:anchorId="45C72F09" wp14:editId="056443CA">
          <wp:extent cx="1712963" cy="858373"/>
          <wp:effectExtent l="0" t="0" r="1905" b="0"/>
          <wp:docPr id="5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52" cy="88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BB7"/>
    <w:multiLevelType w:val="hybridMultilevel"/>
    <w:tmpl w:val="F56CC5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A99"/>
    <w:multiLevelType w:val="hybridMultilevel"/>
    <w:tmpl w:val="760AD250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6F527B"/>
    <w:multiLevelType w:val="hybridMultilevel"/>
    <w:tmpl w:val="E99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EDB"/>
    <w:multiLevelType w:val="hybridMultilevel"/>
    <w:tmpl w:val="8EDAC4C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64E4"/>
    <w:multiLevelType w:val="hybridMultilevel"/>
    <w:tmpl w:val="78B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F76"/>
    <w:multiLevelType w:val="hybridMultilevel"/>
    <w:tmpl w:val="4D144C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2F2F"/>
    <w:multiLevelType w:val="hybridMultilevel"/>
    <w:tmpl w:val="AE928F4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74"/>
    <w:rsid w:val="000250D4"/>
    <w:rsid w:val="000373CF"/>
    <w:rsid w:val="00066640"/>
    <w:rsid w:val="00072872"/>
    <w:rsid w:val="00077841"/>
    <w:rsid w:val="000827D7"/>
    <w:rsid w:val="00096C99"/>
    <w:rsid w:val="000A3F32"/>
    <w:rsid w:val="000D27A3"/>
    <w:rsid w:val="000E3840"/>
    <w:rsid w:val="00115310"/>
    <w:rsid w:val="001462C7"/>
    <w:rsid w:val="00150FD7"/>
    <w:rsid w:val="00152C70"/>
    <w:rsid w:val="00155395"/>
    <w:rsid w:val="001A6B49"/>
    <w:rsid w:val="001B426F"/>
    <w:rsid w:val="001C1046"/>
    <w:rsid w:val="001C5BA5"/>
    <w:rsid w:val="001D0E5B"/>
    <w:rsid w:val="001D63A0"/>
    <w:rsid w:val="001F57E3"/>
    <w:rsid w:val="00224EE0"/>
    <w:rsid w:val="00225E77"/>
    <w:rsid w:val="00231A39"/>
    <w:rsid w:val="002449D7"/>
    <w:rsid w:val="00261FD3"/>
    <w:rsid w:val="00262068"/>
    <w:rsid w:val="00270701"/>
    <w:rsid w:val="002B3A92"/>
    <w:rsid w:val="002D67B2"/>
    <w:rsid w:val="002F5580"/>
    <w:rsid w:val="00300751"/>
    <w:rsid w:val="0030591A"/>
    <w:rsid w:val="003149DC"/>
    <w:rsid w:val="003157E0"/>
    <w:rsid w:val="00322B83"/>
    <w:rsid w:val="00331EDF"/>
    <w:rsid w:val="00333C63"/>
    <w:rsid w:val="0034012C"/>
    <w:rsid w:val="003B2FB6"/>
    <w:rsid w:val="003B4074"/>
    <w:rsid w:val="003C652E"/>
    <w:rsid w:val="003E256C"/>
    <w:rsid w:val="003E567F"/>
    <w:rsid w:val="00426A32"/>
    <w:rsid w:val="00427982"/>
    <w:rsid w:val="00431E89"/>
    <w:rsid w:val="0044353B"/>
    <w:rsid w:val="00467B1C"/>
    <w:rsid w:val="004860E9"/>
    <w:rsid w:val="004A296E"/>
    <w:rsid w:val="004B0DFF"/>
    <w:rsid w:val="004B7EC9"/>
    <w:rsid w:val="004D2422"/>
    <w:rsid w:val="004D7C4F"/>
    <w:rsid w:val="004E3CF1"/>
    <w:rsid w:val="004E3EBF"/>
    <w:rsid w:val="00533DA5"/>
    <w:rsid w:val="00534A84"/>
    <w:rsid w:val="00544CBE"/>
    <w:rsid w:val="005568D5"/>
    <w:rsid w:val="005701B0"/>
    <w:rsid w:val="005A6C67"/>
    <w:rsid w:val="005C73B5"/>
    <w:rsid w:val="005E676E"/>
    <w:rsid w:val="0060786D"/>
    <w:rsid w:val="00620C86"/>
    <w:rsid w:val="006300CE"/>
    <w:rsid w:val="00644F23"/>
    <w:rsid w:val="00645440"/>
    <w:rsid w:val="006A7001"/>
    <w:rsid w:val="006C3424"/>
    <w:rsid w:val="006D3E33"/>
    <w:rsid w:val="006E4A7B"/>
    <w:rsid w:val="006F203E"/>
    <w:rsid w:val="00723EE4"/>
    <w:rsid w:val="00751734"/>
    <w:rsid w:val="007749F0"/>
    <w:rsid w:val="00787FFE"/>
    <w:rsid w:val="00794110"/>
    <w:rsid w:val="007A0F46"/>
    <w:rsid w:val="007A5345"/>
    <w:rsid w:val="007B265D"/>
    <w:rsid w:val="007B5CF4"/>
    <w:rsid w:val="007D78FC"/>
    <w:rsid w:val="007E1A2E"/>
    <w:rsid w:val="00831BA8"/>
    <w:rsid w:val="008436C8"/>
    <w:rsid w:val="00846047"/>
    <w:rsid w:val="008774C9"/>
    <w:rsid w:val="008815A1"/>
    <w:rsid w:val="008900EE"/>
    <w:rsid w:val="00891427"/>
    <w:rsid w:val="00896BC1"/>
    <w:rsid w:val="00897FA4"/>
    <w:rsid w:val="008A3621"/>
    <w:rsid w:val="008E030A"/>
    <w:rsid w:val="008E2FBC"/>
    <w:rsid w:val="008F4D2F"/>
    <w:rsid w:val="008F7DFF"/>
    <w:rsid w:val="0092207F"/>
    <w:rsid w:val="009626C2"/>
    <w:rsid w:val="00966BF0"/>
    <w:rsid w:val="009821C4"/>
    <w:rsid w:val="009905E7"/>
    <w:rsid w:val="009A495D"/>
    <w:rsid w:val="009B285F"/>
    <w:rsid w:val="009C16AA"/>
    <w:rsid w:val="00A0325C"/>
    <w:rsid w:val="00A2676D"/>
    <w:rsid w:val="00A27B75"/>
    <w:rsid w:val="00A315DF"/>
    <w:rsid w:val="00A32099"/>
    <w:rsid w:val="00A351E7"/>
    <w:rsid w:val="00A41D91"/>
    <w:rsid w:val="00A74E1A"/>
    <w:rsid w:val="00A74E70"/>
    <w:rsid w:val="00A82A50"/>
    <w:rsid w:val="00A92155"/>
    <w:rsid w:val="00A94027"/>
    <w:rsid w:val="00A96EEA"/>
    <w:rsid w:val="00A97885"/>
    <w:rsid w:val="00AB5EA1"/>
    <w:rsid w:val="00AC6C85"/>
    <w:rsid w:val="00AE6F2C"/>
    <w:rsid w:val="00B3028D"/>
    <w:rsid w:val="00B354E1"/>
    <w:rsid w:val="00B64A3B"/>
    <w:rsid w:val="00B67E55"/>
    <w:rsid w:val="00B76416"/>
    <w:rsid w:val="00BA7613"/>
    <w:rsid w:val="00BB551E"/>
    <w:rsid w:val="00BC7168"/>
    <w:rsid w:val="00BD71AD"/>
    <w:rsid w:val="00BE1D00"/>
    <w:rsid w:val="00BE677C"/>
    <w:rsid w:val="00C159C0"/>
    <w:rsid w:val="00C15A62"/>
    <w:rsid w:val="00C401A8"/>
    <w:rsid w:val="00C54075"/>
    <w:rsid w:val="00C63959"/>
    <w:rsid w:val="00C84434"/>
    <w:rsid w:val="00CA23C9"/>
    <w:rsid w:val="00CB1093"/>
    <w:rsid w:val="00CB35E1"/>
    <w:rsid w:val="00CC2B00"/>
    <w:rsid w:val="00CE19B1"/>
    <w:rsid w:val="00CF2E85"/>
    <w:rsid w:val="00CF469F"/>
    <w:rsid w:val="00D17B24"/>
    <w:rsid w:val="00D33576"/>
    <w:rsid w:val="00D50820"/>
    <w:rsid w:val="00D543D8"/>
    <w:rsid w:val="00D62E10"/>
    <w:rsid w:val="00D6666D"/>
    <w:rsid w:val="00D83B40"/>
    <w:rsid w:val="00DB1642"/>
    <w:rsid w:val="00DB1A49"/>
    <w:rsid w:val="00DC003A"/>
    <w:rsid w:val="00DE4093"/>
    <w:rsid w:val="00DF5654"/>
    <w:rsid w:val="00DF5E74"/>
    <w:rsid w:val="00E11BD5"/>
    <w:rsid w:val="00E603D5"/>
    <w:rsid w:val="00E63377"/>
    <w:rsid w:val="00E81957"/>
    <w:rsid w:val="00ED5DAB"/>
    <w:rsid w:val="00EE2093"/>
    <w:rsid w:val="00EE600C"/>
    <w:rsid w:val="00F06D61"/>
    <w:rsid w:val="00F173E7"/>
    <w:rsid w:val="00F21A30"/>
    <w:rsid w:val="00F309B3"/>
    <w:rsid w:val="00F329B0"/>
    <w:rsid w:val="00F64DFF"/>
    <w:rsid w:val="00F806A7"/>
    <w:rsid w:val="00FB1048"/>
    <w:rsid w:val="00FB4ECC"/>
    <w:rsid w:val="00FB77EC"/>
    <w:rsid w:val="00FD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485E9"/>
  <w15:docId w15:val="{23796AEA-1BE4-4A6A-9DDD-16D8C22E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55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40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074"/>
  </w:style>
  <w:style w:type="paragraph" w:styleId="Voettekst">
    <w:name w:val="footer"/>
    <w:basedOn w:val="Standaard"/>
    <w:link w:val="VoettekstChar"/>
    <w:uiPriority w:val="99"/>
    <w:unhideWhenUsed/>
    <w:rsid w:val="003B40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074"/>
  </w:style>
  <w:style w:type="paragraph" w:styleId="Ballontekst">
    <w:name w:val="Balloon Text"/>
    <w:basedOn w:val="Standaard"/>
    <w:link w:val="BallontekstChar"/>
    <w:uiPriority w:val="99"/>
    <w:semiHidden/>
    <w:unhideWhenUsed/>
    <w:rsid w:val="003B407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074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8A362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hu-HU" w:eastAsia="hu-HU"/>
    </w:rPr>
  </w:style>
  <w:style w:type="table" w:styleId="Tabelraster">
    <w:name w:val="Table Grid"/>
    <w:basedOn w:val="Standaardtabel"/>
    <w:uiPriority w:val="59"/>
    <w:rsid w:val="00FD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C6C85"/>
    <w:rPr>
      <w:color w:val="0000FF" w:themeColor="hyperlink"/>
      <w:u w:val="single"/>
    </w:rPr>
  </w:style>
  <w:style w:type="character" w:customStyle="1" w:styleId="Mention1">
    <w:name w:val="Mention1"/>
    <w:basedOn w:val="Standaardalinea-lettertype"/>
    <w:uiPriority w:val="99"/>
    <w:semiHidden/>
    <w:unhideWhenUsed/>
    <w:rsid w:val="00AC6C85"/>
    <w:rPr>
      <w:color w:val="2B579A"/>
      <w:shd w:val="clear" w:color="auto" w:fill="E6E6E6"/>
    </w:rPr>
  </w:style>
  <w:style w:type="paragraph" w:customStyle="1" w:styleId="a-I-EU-slogansmall">
    <w:name w:val="a-I-EU-slogan small"/>
    <w:basedOn w:val="Standaard"/>
    <w:link w:val="a-I-EU-slogansmallCar"/>
    <w:uiPriority w:val="99"/>
    <w:rsid w:val="00077841"/>
    <w:pPr>
      <w:spacing w:after="200"/>
    </w:pPr>
    <w:rPr>
      <w:rFonts w:ascii="Arial" w:eastAsia="Arial" w:hAnsi="Arial" w:cs="Times New Roman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basedOn w:val="Standaardalinea-lettertype"/>
    <w:link w:val="a-I-EU-slogansmall"/>
    <w:uiPriority w:val="99"/>
    <w:locked/>
    <w:rsid w:val="00077841"/>
    <w:rPr>
      <w:rFonts w:ascii="Arial" w:eastAsia="Arial" w:hAnsi="Arial" w:cs="Times New Roman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uiPriority w:val="99"/>
    <w:rsid w:val="00077841"/>
    <w:pPr>
      <w:spacing w:after="200" w:line="276" w:lineRule="auto"/>
    </w:pPr>
    <w:rPr>
      <w:rFonts w:ascii="Arial" w:eastAsia="Arial" w:hAnsi="Arial" w:cs="Times New Roman"/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Standaardalinea-lettertype"/>
    <w:link w:val="L-I-EU-ERDFreference"/>
    <w:uiPriority w:val="99"/>
    <w:locked/>
    <w:rsid w:val="00077841"/>
    <w:rPr>
      <w:rFonts w:ascii="Arial" w:eastAsia="Arial" w:hAnsi="Arial" w:cs="Times New Roman"/>
      <w:sz w:val="12"/>
      <w:szCs w:val="12"/>
      <w:lang w:val="en-GB" w:eastAsia="en-US"/>
    </w:rPr>
  </w:style>
  <w:style w:type="paragraph" w:customStyle="1" w:styleId="L-I-EU-pagenumber">
    <w:name w:val="L-I-EU-page number"/>
    <w:basedOn w:val="Standaard"/>
    <w:link w:val="L-I-EU-pagenumberCar"/>
    <w:qFormat/>
    <w:rsid w:val="00966BF0"/>
    <w:pPr>
      <w:spacing w:after="200" w:line="360" w:lineRule="auto"/>
      <w:jc w:val="right"/>
    </w:pPr>
    <w:rPr>
      <w:rFonts w:ascii="Arial" w:eastAsia="Arial" w:hAnsi="Arial" w:cs="Times New Roman"/>
      <w:sz w:val="18"/>
      <w:szCs w:val="18"/>
      <w:lang w:val="fr-FR" w:eastAsia="en-US"/>
    </w:rPr>
  </w:style>
  <w:style w:type="character" w:customStyle="1" w:styleId="L-I-EU-pagenumberCar">
    <w:name w:val="L-I-EU-page number Car"/>
    <w:basedOn w:val="Standaardalinea-lettertype"/>
    <w:link w:val="L-I-EU-pagenumber"/>
    <w:rsid w:val="00966BF0"/>
    <w:rPr>
      <w:rFonts w:ascii="Arial" w:eastAsia="Arial" w:hAnsi="Arial" w:cs="Times New Roman"/>
      <w:sz w:val="18"/>
      <w:szCs w:val="18"/>
      <w:lang w:val="fr-FR" w:eastAsia="en-US"/>
    </w:rPr>
  </w:style>
  <w:style w:type="paragraph" w:customStyle="1" w:styleId="L-I-EU-footnote">
    <w:name w:val="L-I-EU-footnote"/>
    <w:basedOn w:val="Standaard"/>
    <w:link w:val="L-I-EU-footnoteCar"/>
    <w:qFormat/>
    <w:rsid w:val="00966BF0"/>
    <w:pPr>
      <w:jc w:val="both"/>
    </w:pPr>
    <w:rPr>
      <w:rFonts w:ascii="Arial" w:eastAsia="Arial" w:hAnsi="Arial" w:cs="Times New Roman"/>
      <w:sz w:val="14"/>
      <w:szCs w:val="14"/>
      <w:lang w:val="fr-FR" w:eastAsia="en-US"/>
    </w:rPr>
  </w:style>
  <w:style w:type="character" w:customStyle="1" w:styleId="L-I-EU-footnoteCar">
    <w:name w:val="L-I-EU-footnote Car"/>
    <w:basedOn w:val="Standaardalinea-lettertype"/>
    <w:link w:val="L-I-EU-footnote"/>
    <w:rsid w:val="00966BF0"/>
    <w:rPr>
      <w:rFonts w:ascii="Arial" w:eastAsia="Arial" w:hAnsi="Arial" w:cs="Times New Roman"/>
      <w:sz w:val="14"/>
      <w:szCs w:val="14"/>
      <w:lang w:val="fr-FR" w:eastAsia="en-US"/>
    </w:rPr>
  </w:style>
  <w:style w:type="character" w:styleId="Verwijzingopmerking">
    <w:name w:val="annotation reference"/>
    <w:basedOn w:val="Standaardalinea-lettertype"/>
    <w:semiHidden/>
    <w:unhideWhenUsed/>
    <w:rsid w:val="003E567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E567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E56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E56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E56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2BE7-3EC8-46F7-9E10-95474D86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5317</Characters>
  <Application>Microsoft Office Word</Application>
  <DocSecurity>0</DocSecurity>
  <Lines>44</Lines>
  <Paragraphs>12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van Oort</dc:creator>
  <cp:keywords/>
  <dc:description/>
  <cp:lastModifiedBy>Lisanne Buijze</cp:lastModifiedBy>
  <cp:revision>2</cp:revision>
  <cp:lastPrinted>2019-03-26T09:19:00Z</cp:lastPrinted>
  <dcterms:created xsi:type="dcterms:W3CDTF">2019-05-02T11:24:00Z</dcterms:created>
  <dcterms:modified xsi:type="dcterms:W3CDTF">2019-05-02T11:24:00Z</dcterms:modified>
</cp:coreProperties>
</file>